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ESTUDIO DE IMPACTO AMBIENTAL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u w:val="none"/>
        </w:rPr>
        <w:t xml:space="preserve">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9"/>
        <w:tblpPr w:leftFromText="141" w:rightFromText="141" w:vertAnchor="page" w:horzAnchor="page" w:tblpXSpec="center" w:tblpY="3618"/>
        <w:tblW w:w="88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3"/>
        <w:gridCol w:w="5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19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PROYECTO: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>RESIDENCIAL ARRUE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CATEGORÍA: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JORGE AUGUSTO ARRUE MARTIZ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CONSULTORES: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CARLOS CEDEÑO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IAR-0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76-96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AGUSTÍN SÁEZ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IAR-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043-00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CORREGIMIENTO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SAN JUAN BAUTISTA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DISTRITO DE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CHITRÉ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PROVINCIA DE HERRERA. 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b/>
          <w:color w:val="000000"/>
          <w:sz w:val="22"/>
          <w:szCs w:val="22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eastAsia="Times New Roman" w:cs="Times New Roman"/>
          <w:color w:val="FF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BREVE DESCRIPCIÓN DEL PROYECTO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El objetivo del proyecto es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construir un residencial compuesto de nueve viviendas unifamiliares y servicios básicos.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El mismo se desarrollará sobre los Inmuebles Chitré, Código de Ubicación 6005, Folio Real No.30214073, No.30207663, No.30207672, No.30211307, No.30300645, No.30300585, No.30211389, No.30300802 y No.30301033. El área total de construcción es de 3612.8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m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. </w:t>
      </w:r>
    </w:p>
    <w:p>
      <w:pPr>
        <w:spacing w:line="240" w:lineRule="auto"/>
        <w:jc w:val="both"/>
        <w:rPr>
          <w:rFonts w:hint="default" w:ascii="Times New Roman" w:hAnsi="Times New Roman" w:eastAsia="Times New Roman" w:cs="Times New Roman"/>
          <w:color w:val="FF0000"/>
          <w:sz w:val="22"/>
          <w:szCs w:val="22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sz w:val="22"/>
          <w:szCs w:val="22"/>
          <w:lang w:val="es-PA"/>
        </w:rPr>
        <w:t>Las actividades a realizar durante la fase de construcción son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: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decuación del terreno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, edificación (construcción) de la infraestructura y limpieza en general del área del proyecto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De la actividad de adecuación del terreno,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ó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lo se removió capa vegetal en los sitios en donde se edificar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án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las viviendas, no hay necesidad de tala, ni relleno.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La actividad de edificación de infraestructura (construcción de cada vivienda), se da de acuerdo a la solicitud o compra de los lotes. E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l proyecto ya inici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ó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y el mismo tiene un avance del 56%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, cinco (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)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viviendas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en construcción, ya casi en momento de obra muerta y acabados. </w:t>
      </w:r>
    </w:p>
    <w:p>
      <w:pPr>
        <w:spacing w:beforeLines="0" w:afterLines="0"/>
        <w:jc w:val="left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>FUNDAMENTO DE DERECHO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Texto Único de la Ley No.41 de 1998; Ley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38 de 2000; Decreto Ejecutivo Nº 123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Decreto Ejecutivo No.155 de 05 de agosto de 2011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Decreto Ejecutivo 36 del 3 de junio de 2019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VERIFICACION DE CONTENIDO: </w:t>
      </w:r>
      <w:r>
        <w:rPr>
          <w:rFonts w:hint="default" w:ascii="Times New Roman" w:hAnsi="Times New Roman" w:cs="Times New Roman"/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  <w:sz w:val="22"/>
          <w:szCs w:val="22"/>
        </w:rPr>
        <w:t>MINISTERIO DE AMBIENTE (MIAMBIENTE)</w:t>
      </w:r>
      <w:r>
        <w:rPr>
          <w:rFonts w:hint="default" w:ascii="Times New Roman" w:hAnsi="Times New Roman" w:cs="Times New Roman"/>
          <w:sz w:val="22"/>
          <w:szCs w:val="22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RESIDENCIAL ARRUE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RECOMENDACIONES</w:t>
      </w:r>
      <w:r>
        <w:rPr>
          <w:rFonts w:hint="default" w:ascii="Times New Roman" w:hAnsi="Times New Roman" w:cs="Times New Roman"/>
          <w:b/>
          <w:sz w:val="22"/>
          <w:szCs w:val="22"/>
        </w:rPr>
        <w:t>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  <w:sz w:val="22"/>
          <w:szCs w:val="22"/>
        </w:rPr>
        <w:t>Categoría I del proyecto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RESIDENCIAL ARRUE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  <w:t>JORGE AUGUSTO ARRUE MARTIZ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s-PA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tbl>
      <w:tblPr>
        <w:tblStyle w:val="9"/>
        <w:tblpPr w:leftFromText="180" w:rightFromText="180" w:vertAnchor="text" w:horzAnchor="page" w:tblpX="1935" w:tblpY="77"/>
        <w:tblOverlap w:val="never"/>
        <w:tblW w:w="84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ing. YURIA BENÍTEZ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lic. luis peña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Jefe del Departamento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pPr w:leftFromText="141" w:rightFromText="141" w:vertAnchor="page" w:horzAnchor="page" w:tblpX="3248" w:tblpY="17344"/>
        <w:tblW w:w="5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I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 xml:space="preserve">ng.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J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>uan samaniego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Director Regional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 Encargado</w:t>
            </w:r>
            <w:bookmarkStart w:id="0" w:name="_GoBack"/>
            <w:bookmarkEnd w:id="0"/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h="20160"/>
      <w:pgMar w:top="1418" w:right="1701" w:bottom="1418" w:left="1701" w:header="709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52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8"/>
      <w:gridCol w:w="693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 descr="wordml://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ordml://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3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5"/>
            <w:tabs>
              <w:tab w:val="center" w:pos="4419"/>
              <w:tab w:val="right" w:pos="8838"/>
            </w:tabs>
            <w:jc w:val="center"/>
            <w:rPr>
              <w:b/>
              <w:lang w:val="zh-CN"/>
            </w:rPr>
          </w:pPr>
          <w:r>
            <w:rPr>
              <w:b/>
              <w:lang w:val="zh-CN"/>
            </w:rPr>
            <w:t>DIRECCIÓN REGIONAL DE HERRERA</w:t>
          </w:r>
        </w:p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zh-CN"/>
            </w:rPr>
            <w:t xml:space="preserve">Tel. </w:t>
          </w:r>
          <w:r>
            <w:rPr>
              <w:rFonts w:hint="default"/>
              <w:color w:val="000000"/>
              <w:sz w:val="22"/>
              <w:lang w:val="es-PA"/>
            </w:rPr>
            <w:t>996-7675</w:t>
          </w:r>
          <w:r>
            <w:rPr>
              <w:sz w:val="22"/>
              <w:lang w:val="zh-CN"/>
            </w:rPr>
            <w:t xml:space="preserve">                                                            </w:t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"http://www.miambiente.gob.pa" </w:instrText>
          </w:r>
          <w:r>
            <w:rPr>
              <w:color w:val="auto"/>
            </w:rPr>
            <w:fldChar w:fldCharType="separate"/>
          </w:r>
          <w:r>
            <w:rPr>
              <w:rStyle w:val="8"/>
              <w:color w:val="auto"/>
              <w:sz w:val="22"/>
            </w:rPr>
            <w:t>www.miambiente.gob.pa</w:t>
          </w:r>
          <w:r>
            <w:rPr>
              <w:color w:val="auto"/>
            </w:rPr>
            <w:fldChar w:fldCharType="end"/>
          </w:r>
        </w:p>
      </w:tc>
    </w:tr>
  </w:tbl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50919"/>
    <w:rsid w:val="031B4DBA"/>
    <w:rsid w:val="06B65A24"/>
    <w:rsid w:val="0B11125E"/>
    <w:rsid w:val="11A24915"/>
    <w:rsid w:val="12856B2B"/>
    <w:rsid w:val="13125E71"/>
    <w:rsid w:val="16770B62"/>
    <w:rsid w:val="172F1DEC"/>
    <w:rsid w:val="194E4C4C"/>
    <w:rsid w:val="266B0748"/>
    <w:rsid w:val="27077B66"/>
    <w:rsid w:val="272941DA"/>
    <w:rsid w:val="2C401994"/>
    <w:rsid w:val="2C795E23"/>
    <w:rsid w:val="305D1399"/>
    <w:rsid w:val="30B733AF"/>
    <w:rsid w:val="35E23C14"/>
    <w:rsid w:val="38571C7A"/>
    <w:rsid w:val="38C30C34"/>
    <w:rsid w:val="41396FD7"/>
    <w:rsid w:val="415B49F3"/>
    <w:rsid w:val="422A1351"/>
    <w:rsid w:val="48DD35AE"/>
    <w:rsid w:val="4EE90415"/>
    <w:rsid w:val="4F2A44C2"/>
    <w:rsid w:val="52683115"/>
    <w:rsid w:val="54A03478"/>
    <w:rsid w:val="60A061A9"/>
    <w:rsid w:val="62257D57"/>
    <w:rsid w:val="6AF734A2"/>
    <w:rsid w:val="6CE4762E"/>
    <w:rsid w:val="75E53D99"/>
    <w:rsid w:val="7A620C41"/>
    <w:rsid w:val="7E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qFormat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qFormat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</w:style>
  <w:style w:type="paragraph" w:styleId="5">
    <w:name w:val="header"/>
    <w:basedOn w:val="1"/>
    <w:qFormat/>
    <w:uiPriority w:val="0"/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0"/>
    <w:rPr>
      <w:color w:val="0000FF"/>
      <w:sz w:val="24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2019-07-25T15:56:59Z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