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FORMATO EIA-FA-007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INFORME DE REVISIÓN DE CONTENIDOS MÍNIMOS DEL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  <w:t>ESTUDIO DE IMPACTO AMBIENTAL</w:t>
      </w:r>
      <w:r>
        <w:rPr>
          <w:rFonts w:hint="default" w:ascii="Times New Roman" w:hAnsi="Times New Roman" w:cs="Times New Roman"/>
          <w:b/>
          <w:bCs w:val="0"/>
          <w:color w:val="000000"/>
          <w:sz w:val="22"/>
          <w:szCs w:val="22"/>
          <w:u w:val="none"/>
        </w:rPr>
        <w:t xml:space="preserve"> 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center"/>
        <w:rPr>
          <w:rFonts w:hint="default" w:ascii="Times New Roman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9"/>
        <w:tblpPr w:leftFromText="141" w:rightFromText="141" w:vertAnchor="page" w:horzAnchor="page" w:tblpXSpec="center" w:tblpY="3618"/>
        <w:tblW w:w="88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43"/>
        <w:gridCol w:w="54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ind w:left="284"/>
              <w:jc w:val="both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  <w:t>FECHA DE INGRESO: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19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DE JU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L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IO 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ind w:left="284"/>
              <w:jc w:val="both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</w:rPr>
              <w:t>FECHA DE INFORME: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pStyle w:val="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 w:line="240" w:lineRule="auto"/>
              <w:rPr>
                <w:rFonts w:hint="default" w:ascii="Times New Roman" w:hAnsi="Times New Roman" w:cs="Times New Roman"/>
                <w:b w:val="0"/>
                <w:i w:val="0"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26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 xml:space="preserve"> DE JU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>L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IO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  <w:lang w:val="es-PA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  <w:t>2019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PROYECTO: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  <w:t>RESIDENCIAL ARRUE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CATEGORÍA: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PROMOTOR: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JORGE AUGUSTO ARRUE MARTIZ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3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3600"/>
              </w:tabs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zh-CN"/>
              </w:rPr>
              <w:t>CONSULTORES: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CARLOS CEDEÑO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>IAR-0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76-96</w:t>
            </w:r>
          </w:p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AGUSTÍN SÁEZ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zh-CN"/>
              </w:rPr>
              <w:t>IAR-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043-00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7" w:hRule="atLeast"/>
          <w:jc w:val="center"/>
        </w:trPr>
        <w:tc>
          <w:tcPr>
            <w:tcW w:w="3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>
            <w:pPr>
              <w:tabs>
                <w:tab w:val="left" w:pos="3600"/>
              </w:tabs>
              <w:spacing w:line="240" w:lineRule="auto"/>
              <w:ind w:left="3884" w:hanging="3600"/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LOCALIZACIÓN:</w:t>
            </w:r>
          </w:p>
        </w:tc>
        <w:tc>
          <w:tcPr>
            <w:tcW w:w="5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70" w:type="dxa"/>
              <w:right w:w="70" w:type="dxa"/>
            </w:tcMar>
          </w:tcPr>
          <w:p>
            <w:pPr>
              <w:tabs>
                <w:tab w:val="left" w:pos="360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CORREGIMIENTO DE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 xml:space="preserve"> SAN JUAN BAUTISTA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, DISTRITO DE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s-PA"/>
              </w:rPr>
              <w:t>CHITRÉ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 xml:space="preserve">, PROVINCIA DE HERRERA. </w:t>
            </w:r>
          </w:p>
        </w:tc>
      </w:tr>
    </w:tbl>
    <w:p>
      <w:pPr>
        <w:spacing w:line="240" w:lineRule="auto"/>
        <w:jc w:val="both"/>
        <w:rPr>
          <w:rFonts w:hint="default" w:ascii="Times New Roman" w:hAnsi="Times New Roman" w:cs="Times New Roman"/>
          <w:b/>
          <w:color w:val="000000"/>
          <w:sz w:val="22"/>
          <w:szCs w:val="22"/>
          <w:lang w:val="es-PA"/>
        </w:rPr>
      </w:pPr>
    </w:p>
    <w:p>
      <w:pPr>
        <w:spacing w:line="240" w:lineRule="auto"/>
        <w:jc w:val="both"/>
        <w:rPr>
          <w:rFonts w:hint="default" w:ascii="Times New Roman" w:hAnsi="Times New Roman" w:eastAsia="Times New Roman" w:cs="Times New Roman"/>
          <w:color w:val="FF0000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>BREVE DESCRIPCIÓN DEL PROYECTO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El objetivo del proyecto es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construir un residencial compuesto de nueve viviendas unifamiliares y servicios básicos.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El mismo se desarrollará sobre los Inmuebles Chitré, Código de Ubicación 6005, Folio Real No.30214073, No.30207663, No.30207672, No.30211307, No.30300645, No.30300585, No.30211389, No.30300802 y No.30301033. El área total de construcción es de 3612.8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m</w:t>
      </w:r>
      <w:r>
        <w:rPr>
          <w:rFonts w:hint="default" w:ascii="Times New Roman" w:hAnsi="Times New Roman" w:cs="Times New Roman"/>
          <w:sz w:val="22"/>
          <w:szCs w:val="22"/>
          <w:vertAlign w:val="superscript"/>
          <w:lang w:val="es-PA"/>
        </w:rPr>
        <w:t>2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. </w:t>
      </w:r>
    </w:p>
    <w:p>
      <w:pPr>
        <w:spacing w:line="240" w:lineRule="auto"/>
        <w:jc w:val="both"/>
        <w:rPr>
          <w:rFonts w:hint="default" w:ascii="Times New Roman" w:hAnsi="Times New Roman" w:eastAsia="Times New Roman" w:cs="Times New Roman"/>
          <w:color w:val="FF0000"/>
          <w:sz w:val="22"/>
          <w:szCs w:val="22"/>
        </w:rPr>
      </w:pP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  <w:lang w:val="es-PA"/>
        </w:rPr>
      </w:pPr>
      <w:r>
        <w:rPr>
          <w:rFonts w:hint="default" w:ascii="Times New Roman" w:hAnsi="Times New Roman" w:cs="Times New Roman"/>
          <w:sz w:val="22"/>
          <w:szCs w:val="22"/>
          <w:lang w:val="es-PA"/>
        </w:rPr>
        <w:t>Las actividades a realizar durante la fase de construcción son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: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A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decuación del terreno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, edificación (construcción) de la infraestructura y limpieza en general del área del proyecto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.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De la actividad de adecuación del terreno,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s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ó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lo se removió capa vegetal en los sitios en donde se edificar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án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las viviendas, no hay necesidad de tala, ni relleno.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La actividad de edificación de infraestructura (construcción de cada vivienda), se da de acuerdo a la solicitud o compra de los lotes. E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l proyecto ya inici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ó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, y el mismo tiene un avance del 56%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, cinco (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5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>)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 viviendas 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en construcción, ya casi en momento de obra muerta y acabados. </w:t>
      </w:r>
    </w:p>
    <w:p>
      <w:pPr>
        <w:spacing w:beforeLines="0" w:afterLines="0"/>
        <w:jc w:val="left"/>
        <w:rPr>
          <w:rFonts w:hint="default" w:ascii="Times New Roman" w:hAnsi="Times New Roman" w:eastAsia="Times New Roman" w:cs="Times New Roman"/>
          <w:color w:val="000000"/>
          <w:sz w:val="22"/>
          <w:szCs w:val="22"/>
        </w:rPr>
      </w:pP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  <w:lang w:val="zh-CN"/>
        </w:rPr>
        <w:t>FUNDAMENTO DE DERECHO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  <w:t xml:space="preserve">: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>Texto Único de la Ley No.41 de 1998; Ley No.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38 de 2000; Decreto Ejecutivo Nº 123 de 2009, </w:t>
      </w:r>
      <w:r>
        <w:rPr>
          <w:rFonts w:hint="default" w:ascii="Times New Roman" w:hAnsi="Times New Roman" w:cs="Times New Roman"/>
          <w:sz w:val="22"/>
          <w:szCs w:val="22"/>
        </w:rPr>
        <w:t>modificado por el Decreto Ejecutivo No.155 de 05 de agosto de 2011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Decreto Ejecutivo 36 del 3 de junio de 2019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zh-CN"/>
        </w:rPr>
        <w:t xml:space="preserve">y demás normas complementarias y concordantes. </w:t>
      </w:r>
    </w:p>
    <w:p>
      <w:pPr>
        <w:tabs>
          <w:tab w:val="left" w:pos="0"/>
          <w:tab w:val="left" w:pos="1440"/>
        </w:tabs>
        <w:suppressAutoHyphens/>
        <w:spacing w:line="240" w:lineRule="auto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zh-CN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color w:val="000000"/>
          <w:sz w:val="22"/>
          <w:szCs w:val="22"/>
        </w:rPr>
        <w:t xml:space="preserve">VERIFICACION DE CONTENIDO: </w:t>
      </w:r>
      <w:r>
        <w:rPr>
          <w:rFonts w:hint="default" w:ascii="Times New Roman" w:hAnsi="Times New Roman" w:cs="Times New Roman"/>
          <w:sz w:val="22"/>
          <w:szCs w:val="22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Que luego de revisado el registro de consultores ambientales, se detectó que los consultores se encuentran registrados y habilitados ante el </w:t>
      </w:r>
      <w:r>
        <w:rPr>
          <w:rFonts w:hint="default" w:ascii="Times New Roman" w:hAnsi="Times New Roman" w:cs="Times New Roman"/>
          <w:b/>
          <w:sz w:val="22"/>
          <w:szCs w:val="22"/>
        </w:rPr>
        <w:t>MINISTERIO DE AMBIENTE (MIAMBIENTE)</w:t>
      </w:r>
      <w:r>
        <w:rPr>
          <w:rFonts w:hint="default" w:ascii="Times New Roman" w:hAnsi="Times New Roman" w:cs="Times New Roman"/>
          <w:sz w:val="22"/>
          <w:szCs w:val="22"/>
        </w:rPr>
        <w:t xml:space="preserve">, para realizar Estudios de Impacto Ambiental. 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Que luego de revisado el Estudio de Impacto Ambiental (EsIA), Categoría I, del proyecto denominado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RESIDENCIAL ARRUE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</w:rPr>
        <w:t>se detectó que el mismo cumple con los contenidos mínimos establecidos en los artículos 26 del Decreto Ejecutivo 123 del 14 de agosto de 2009 y lo señalado en el artículo 2 del Decreto Ejecutivo 36 del 3 de junio de 2019 que modifica los artículos 38 y 39 del Decreto Ejecutivo 123 del 14 de agosto de 2009.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es-PA"/>
        </w:rPr>
      </w:pPr>
      <w:r>
        <w:rPr>
          <w:rFonts w:hint="default" w:ascii="Times New Roman" w:hAnsi="Times New Roman" w:cs="Times New Roman"/>
          <w:b/>
          <w:sz w:val="22"/>
          <w:szCs w:val="22"/>
          <w:u w:val="single"/>
        </w:rPr>
        <w:t>RECOMENDACIONES</w:t>
      </w:r>
      <w:r>
        <w:rPr>
          <w:rFonts w:hint="default" w:ascii="Times New Roman" w:hAnsi="Times New Roman" w:cs="Times New Roman"/>
          <w:b/>
          <w:sz w:val="22"/>
          <w:szCs w:val="22"/>
        </w:rPr>
        <w:t>: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Por lo antes expuesto, se recomienda Admitir el Estudio de Impacto Ambiental </w:t>
      </w:r>
      <w:r>
        <w:rPr>
          <w:rFonts w:hint="default" w:ascii="Times New Roman" w:hAnsi="Times New Roman" w:cs="Times New Roman"/>
          <w:sz w:val="22"/>
          <w:szCs w:val="22"/>
        </w:rPr>
        <w:t>Categoría I del proyecto denominado</w:t>
      </w:r>
      <w:r>
        <w:rPr>
          <w:rFonts w:hint="default" w:ascii="Times New Roman" w:hAnsi="Times New Roman" w:cs="Times New Roman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es-PA"/>
        </w:rPr>
        <w:t>RESIDENCIAL ARRUE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zh-CN"/>
        </w:rPr>
        <w:t>,</w:t>
      </w:r>
      <w:r>
        <w:rPr>
          <w:rFonts w:hint="default" w:ascii="Times New Roman" w:hAnsi="Times New Roman" w:cs="Times New Roman"/>
          <w:b w:val="0"/>
          <w:bCs/>
          <w:color w:val="000000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promovido por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es-PA"/>
        </w:rPr>
        <w:t>JORGE AUGUSTO ARRUE MARTIZ</w:t>
      </w: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es-PA"/>
        </w:rPr>
        <w:t>.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2"/>
          <w:szCs w:val="22"/>
          <w:lang w:val="zh-CN"/>
        </w:rPr>
      </w:pPr>
    </w:p>
    <w:tbl>
      <w:tblPr>
        <w:tblStyle w:val="9"/>
        <w:tblpPr w:leftFromText="180" w:rightFromText="180" w:vertAnchor="text" w:horzAnchor="page" w:tblpX="1935" w:tblpY="77"/>
        <w:tblOverlap w:val="never"/>
        <w:tblW w:w="84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1"/>
        <w:gridCol w:w="43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  <w:lang w:val="es-PA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  <w:lang w:val="es-PA"/>
              </w:rPr>
              <w:t>______________________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</w:rPr>
              <w:t>ing. YURIA BENÍTEZ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Técnico Evaluador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  <w:lang w:val="es-PA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  <w:lang w:val="es-PA"/>
              </w:rPr>
              <w:t>________________________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none"/>
              </w:rPr>
              <w:t>lic. luis peña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Jefe del Departamento de Evaluación de Impacto Ambiental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pPr w:leftFromText="141" w:rightFromText="141" w:vertAnchor="page" w:horzAnchor="page" w:tblpX="3248" w:tblpY="17344"/>
        <w:tblW w:w="5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u w:val="singl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caps/>
                <w:color w:val="000000"/>
                <w:sz w:val="22"/>
                <w:szCs w:val="22"/>
                <w:u w:val="single"/>
                <w:lang w:val="es-P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aps/>
                <w:color w:val="000000"/>
                <w:sz w:val="22"/>
                <w:szCs w:val="22"/>
                <w:u w:val="single"/>
                <w:lang w:val="es-PA"/>
              </w:rPr>
              <w:t>________________________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 w:val="0"/>
                <w:caps/>
                <w:color w:val="000000"/>
                <w:sz w:val="22"/>
                <w:szCs w:val="22"/>
                <w:u w:val="none"/>
                <w:lang w:val="es-PA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u w:val="none"/>
                <w:lang w:val="es-PA"/>
              </w:rPr>
              <w:t>I</w:t>
            </w:r>
            <w:r>
              <w:rPr>
                <w:rFonts w:hint="default" w:ascii="Times New Roman" w:hAnsi="Times New Roman" w:cs="Times New Roman"/>
                <w:b/>
                <w:bCs w:val="0"/>
                <w:caps/>
                <w:color w:val="000000"/>
                <w:sz w:val="22"/>
                <w:szCs w:val="22"/>
                <w:u w:val="none"/>
                <w:lang w:val="es-PA"/>
              </w:rPr>
              <w:t xml:space="preserve">ng. 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  <w:u w:val="none"/>
                <w:lang w:val="es-PA"/>
              </w:rPr>
              <w:t>J</w:t>
            </w:r>
            <w:r>
              <w:rPr>
                <w:rFonts w:hint="default" w:ascii="Times New Roman" w:hAnsi="Times New Roman" w:cs="Times New Roman"/>
                <w:b/>
                <w:bCs w:val="0"/>
                <w:caps/>
                <w:color w:val="000000"/>
                <w:sz w:val="22"/>
                <w:szCs w:val="22"/>
                <w:u w:val="none"/>
                <w:lang w:val="es-PA"/>
              </w:rPr>
              <w:t>uan samaniego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caps/>
                <w:color w:val="000000"/>
                <w:sz w:val="22"/>
                <w:szCs w:val="22"/>
                <w:lang w:val="es-P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Director Regional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s-PA"/>
              </w:rPr>
              <w:t xml:space="preserve"> Encargado</w:t>
            </w:r>
          </w:p>
        </w:tc>
      </w:tr>
    </w:tbl>
    <w:p>
      <w:pPr>
        <w:tabs>
          <w:tab w:val="left" w:pos="708"/>
          <w:tab w:val="center" w:pos="4419"/>
          <w:tab w:val="right" w:pos="8838"/>
        </w:tabs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p>
      <w:pPr>
        <w:spacing w:line="240" w:lineRule="auto"/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3" w:type="default"/>
      <w:footerReference r:id="rId4" w:type="default"/>
      <w:pgSz w:h="20160"/>
      <w:pgMar w:top="1418" w:right="1701" w:bottom="1418" w:left="1701" w:header="709" w:footer="709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19"/>
        <w:tab w:val="right" w:pos="8838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4"/>
      <w:tabs>
        <w:tab w:val="center" w:pos="4419"/>
        <w:tab w:val="right" w:pos="8838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8522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88"/>
      <w:gridCol w:w="6934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>
          <w:r>
            <w:drawing>
              <wp:inline distT="0" distB="0" distL="114300" distR="114300">
                <wp:extent cx="824865" cy="981710"/>
                <wp:effectExtent l="0" t="0" r="13335" b="8890"/>
                <wp:docPr id="1" name="Picture 1" descr="wordml://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wordml://image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>
          <w:pPr>
            <w:pStyle w:val="3"/>
            <w:keepNext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>
          <w:pPr>
            <w:pStyle w:val="5"/>
            <w:tabs>
              <w:tab w:val="center" w:pos="4419"/>
              <w:tab w:val="right" w:pos="8838"/>
            </w:tabs>
            <w:jc w:val="center"/>
            <w:rPr>
              <w:b/>
              <w:lang w:val="zh-CN"/>
            </w:rPr>
          </w:pPr>
          <w:r>
            <w:rPr>
              <w:b/>
              <w:lang w:val="zh-CN"/>
            </w:rPr>
            <w:t>DIRECCIÓN REGIONAL DE HERRERA</w:t>
          </w:r>
        </w:p>
        <w:p>
          <w:pPr>
            <w:jc w:val="center"/>
            <w:rPr>
              <w:color w:val="000000"/>
              <w:sz w:val="22"/>
            </w:rPr>
          </w:pPr>
        </w:p>
        <w:p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zh-CN"/>
            </w:rPr>
            <w:t xml:space="preserve">Tel. </w:t>
          </w:r>
          <w:r>
            <w:rPr>
              <w:rFonts w:hint="default"/>
              <w:color w:val="000000"/>
              <w:sz w:val="22"/>
              <w:lang w:val="es-PA"/>
            </w:rPr>
            <w:t>996-7675</w:t>
          </w:r>
          <w:r>
            <w:rPr>
              <w:sz w:val="22"/>
              <w:lang w:val="zh-CN"/>
            </w:rPr>
            <w:t xml:space="preserve">                                                            </w:t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"http://www.miambiente.gob.pa" </w:instrText>
          </w:r>
          <w:r>
            <w:rPr>
              <w:color w:val="auto"/>
            </w:rPr>
            <w:fldChar w:fldCharType="separate"/>
          </w:r>
          <w:r>
            <w:rPr>
              <w:rStyle w:val="8"/>
              <w:color w:val="auto"/>
              <w:sz w:val="22"/>
            </w:rPr>
            <w:t>www.miambiente.gob.pa</w:t>
          </w:r>
          <w:r>
            <w:rPr>
              <w:color w:val="auto"/>
            </w:rPr>
            <w:fldChar w:fldCharType="end"/>
          </w:r>
        </w:p>
      </w:tc>
    </w:tr>
  </w:tbl>
  <w:p>
    <w:pPr>
      <w:pStyle w:val="5"/>
      <w:tabs>
        <w:tab w:val="center" w:pos="4419"/>
        <w:tab w:val="right" w:pos="883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50919"/>
    <w:rsid w:val="031B4DBA"/>
    <w:rsid w:val="06B65A24"/>
    <w:rsid w:val="0B11125E"/>
    <w:rsid w:val="11A24915"/>
    <w:rsid w:val="12856B2B"/>
    <w:rsid w:val="13125E71"/>
    <w:rsid w:val="16770B62"/>
    <w:rsid w:val="172F1DEC"/>
    <w:rsid w:val="194E4C4C"/>
    <w:rsid w:val="266B0748"/>
    <w:rsid w:val="27077B66"/>
    <w:rsid w:val="272941DA"/>
    <w:rsid w:val="2C401994"/>
    <w:rsid w:val="2C795E23"/>
    <w:rsid w:val="305D1399"/>
    <w:rsid w:val="30B733AF"/>
    <w:rsid w:val="35E23C14"/>
    <w:rsid w:val="38571C7A"/>
    <w:rsid w:val="38C30C34"/>
    <w:rsid w:val="41396FD7"/>
    <w:rsid w:val="415B49F3"/>
    <w:rsid w:val="422A1351"/>
    <w:rsid w:val="44FC2C7B"/>
    <w:rsid w:val="48DD35AE"/>
    <w:rsid w:val="4EE90415"/>
    <w:rsid w:val="4F2A44C2"/>
    <w:rsid w:val="52683115"/>
    <w:rsid w:val="54A03478"/>
    <w:rsid w:val="60A061A9"/>
    <w:rsid w:val="62257D57"/>
    <w:rsid w:val="6AF734A2"/>
    <w:rsid w:val="6CE4762E"/>
    <w:rsid w:val="75E53D99"/>
    <w:rsid w:val="7A620C41"/>
    <w:rsid w:val="7EA5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="Calibri" w:eastAsia="SimSun" w:cs="Times New Roman"/>
      <w:sz w:val="24"/>
      <w:lang w:val="zh-CN"/>
    </w:rPr>
  </w:style>
  <w:style w:type="paragraph" w:styleId="2">
    <w:name w:val="heading 2"/>
    <w:basedOn w:val="1"/>
    <w:next w:val="1"/>
    <w:qFormat/>
    <w:uiPriority w:val="0"/>
    <w:pPr>
      <w:spacing w:before="240" w:after="60"/>
      <w:outlineLvl w:val="1"/>
    </w:pPr>
    <w:rPr>
      <w:rFonts w:hint="default" w:ascii="Arial" w:hAnsi="Arial"/>
      <w:b/>
      <w:i/>
      <w:sz w:val="28"/>
    </w:rPr>
  </w:style>
  <w:style w:type="paragraph" w:styleId="3">
    <w:name w:val="heading 4"/>
    <w:basedOn w:val="1"/>
    <w:next w:val="1"/>
    <w:qFormat/>
    <w:uiPriority w:val="0"/>
    <w:pPr>
      <w:spacing w:before="240" w:after="60"/>
      <w:outlineLvl w:val="3"/>
    </w:pPr>
    <w:rPr>
      <w:rFonts w:hint="default" w:ascii="Calibri" w:hAnsi="Calibri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</w:style>
  <w:style w:type="paragraph" w:styleId="5">
    <w:name w:val="header"/>
    <w:basedOn w:val="1"/>
    <w:qFormat/>
    <w:uiPriority w:val="0"/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8">
    <w:name w:val="Hyperlink"/>
    <w:qFormat/>
    <w:uiPriority w:val="0"/>
    <w:rPr>
      <w:color w:val="0000FF"/>
      <w:sz w:val="24"/>
      <w:u w:val="single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2019-06-18T13:31:00Z</dcterms:created>
  <dc:creator>lpena</dc:creator>
  <cp:lastModifiedBy>lpena</cp:lastModifiedBy>
  <dcterms:modified xsi:type="dcterms:W3CDTF">2019-07-26T16:01:42Z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