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A6" w:rsidRDefault="00075E0F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 </w:t>
      </w:r>
      <w:r w:rsidR="00054D62">
        <w:rPr>
          <w:b/>
          <w:color w:val="000000"/>
          <w:u w:val="single"/>
        </w:rPr>
        <w:t>FORMATO EIA-FA-007</w:t>
      </w:r>
    </w:p>
    <w:p w:rsidR="00223BA6" w:rsidRDefault="00054D6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223BA6" w:rsidRDefault="00054D62" w:rsidP="007618E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Pr="00D045EC" w:rsidRDefault="00CF3C3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D045EC">
              <w:rPr>
                <w:rFonts w:ascii="Times New Roman" w:hAnsi="Times New Roman"/>
                <w:b w:val="0"/>
                <w:i w:val="0"/>
                <w:sz w:val="24"/>
              </w:rPr>
              <w:t>10</w:t>
            </w:r>
            <w:r w:rsidR="00891EA2" w:rsidRPr="00D045EC">
              <w:rPr>
                <w:rFonts w:ascii="Times New Roman" w:hAnsi="Times New Roman"/>
                <w:b w:val="0"/>
                <w:i w:val="0"/>
                <w:sz w:val="24"/>
              </w:rPr>
              <w:t xml:space="preserve"> de jul</w:t>
            </w:r>
            <w:r w:rsidR="00054D62" w:rsidRPr="00D045EC">
              <w:rPr>
                <w:rFonts w:ascii="Times New Roman" w:hAnsi="Times New Roman"/>
                <w:b w:val="0"/>
                <w:i w:val="0"/>
                <w:sz w:val="24"/>
              </w:rPr>
              <w:t>io de 2019</w:t>
            </w:r>
            <w:r w:rsidR="00891EA2" w:rsidRPr="00D045EC">
              <w:rPr>
                <w:rFonts w:ascii="Times New Roman" w:hAnsi="Times New Roman"/>
                <w:b w:val="0"/>
                <w:i w:val="0"/>
                <w:sz w:val="24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Pr="00D045EC" w:rsidRDefault="00CF3C3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lang w:val="es-MX"/>
              </w:rPr>
            </w:pPr>
            <w:r w:rsidRPr="00D045EC">
              <w:rPr>
                <w:rFonts w:ascii="Times New Roman" w:hAnsi="Times New Roman"/>
                <w:b w:val="0"/>
                <w:i w:val="0"/>
                <w:sz w:val="24"/>
                <w:lang w:val="es-MX"/>
              </w:rPr>
              <w:t>25</w:t>
            </w:r>
            <w:r w:rsidR="00054D62" w:rsidRPr="00D045EC">
              <w:rPr>
                <w:rFonts w:ascii="Times New Roman" w:hAnsi="Times New Roman"/>
                <w:b w:val="0"/>
                <w:i w:val="0"/>
                <w:sz w:val="24"/>
                <w:lang w:val="es-MX"/>
              </w:rPr>
              <w:t xml:space="preserve"> de julio de 2019</w:t>
            </w:r>
            <w:r w:rsidR="00891EA2" w:rsidRPr="00D045EC">
              <w:rPr>
                <w:rFonts w:ascii="Times New Roman" w:hAnsi="Times New Roman"/>
                <w:b w:val="0"/>
                <w:i w:val="0"/>
                <w:sz w:val="24"/>
                <w:lang w:val="es-MX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CF3C37">
            <w:pPr>
              <w:jc w:val="both"/>
            </w:pPr>
            <w:r>
              <w:t>NJS PANAMÁ CORP</w:t>
            </w:r>
            <w:r w:rsidR="00891EA2"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054D62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D045EC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N</w:t>
            </w:r>
            <w:r w:rsidR="00A64792">
              <w:rPr>
                <w:color w:val="000000"/>
                <w:lang w:val="es-PA"/>
              </w:rPr>
              <w:t>JS PANAMÁ,  CORP.</w:t>
            </w:r>
          </w:p>
        </w:tc>
      </w:tr>
      <w:tr w:rsidR="00223BA6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DANIEL CÁCERES</w:t>
            </w:r>
            <w:r w:rsidR="00054D62">
              <w:rPr>
                <w:color w:val="000000"/>
                <w:lang w:val="es-PA"/>
              </w:rPr>
              <w:t xml:space="preserve"> (IRC-</w:t>
            </w:r>
            <w:r>
              <w:rPr>
                <w:color w:val="000000"/>
                <w:lang w:val="es-PA"/>
              </w:rPr>
              <w:t>050-02</w:t>
            </w:r>
            <w:r w:rsidR="00054D62">
              <w:rPr>
                <w:color w:val="000000"/>
                <w:lang w:val="es-PA"/>
              </w:rPr>
              <w:t xml:space="preserve">) </w:t>
            </w:r>
          </w:p>
          <w:p w:rsidR="00223BA6" w:rsidRDefault="00891EA2" w:rsidP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ABEL BATISTA (I</w:t>
            </w:r>
            <w:r w:rsidR="00054D62">
              <w:rPr>
                <w:color w:val="000000"/>
                <w:lang w:val="es-PA"/>
              </w:rPr>
              <w:t>R</w:t>
            </w:r>
            <w:r>
              <w:rPr>
                <w:color w:val="000000"/>
                <w:lang w:val="es-PA"/>
              </w:rPr>
              <w:t>C</w:t>
            </w:r>
            <w:r w:rsidR="00054D62">
              <w:rPr>
                <w:color w:val="000000"/>
                <w:lang w:val="es-PA"/>
              </w:rPr>
              <w:t>-09</w:t>
            </w:r>
            <w:r>
              <w:rPr>
                <w:color w:val="000000"/>
                <w:lang w:val="es-PA"/>
              </w:rPr>
              <w:t>7</w:t>
            </w:r>
            <w:r w:rsidR="00054D62">
              <w:rPr>
                <w:color w:val="000000"/>
                <w:lang w:val="es-PA"/>
              </w:rPr>
              <w:t>-0</w:t>
            </w:r>
            <w:r>
              <w:rPr>
                <w:color w:val="000000"/>
                <w:lang w:val="es-PA"/>
              </w:rPr>
              <w:t>8</w:t>
            </w:r>
            <w:r w:rsidR="00054D62">
              <w:rPr>
                <w:color w:val="000000"/>
                <w:lang w:val="es-PA"/>
              </w:rPr>
              <w:t>)</w:t>
            </w:r>
            <w:r>
              <w:rPr>
                <w:color w:val="000000"/>
                <w:lang w:val="es-PA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Pr="0087125D" w:rsidRDefault="0087125D" w:rsidP="0093598D">
            <w:pPr>
              <w:tabs>
                <w:tab w:val="left" w:pos="3600"/>
              </w:tabs>
              <w:rPr>
                <w:color w:val="000000"/>
              </w:rPr>
            </w:pPr>
            <w:r w:rsidRPr="0087125D">
              <w:rPr>
                <w:sz w:val="22"/>
                <w:lang w:val="es-MX"/>
              </w:rPr>
              <w:t>Corregimiento de Bastimentos (Isla Solarte), distrito de Bocas del Toro, Provincia de Bocas del Toro.</w:t>
            </w:r>
          </w:p>
        </w:tc>
      </w:tr>
    </w:tbl>
    <w:p w:rsidR="007618E4" w:rsidRPr="003C6FF4" w:rsidRDefault="007618E4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 w:val="20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 w:rsidR="003C6FF4" w:rsidRPr="003C6FF4" w:rsidRDefault="003C6FF4" w:rsidP="003C6FF4">
      <w:pPr>
        <w:spacing w:line="240" w:lineRule="atLeast"/>
        <w:rPr>
          <w:rFonts w:eastAsia="MS Mincho"/>
          <w:b/>
          <w:sz w:val="20"/>
          <w:u w:val="single"/>
        </w:rPr>
      </w:pPr>
    </w:p>
    <w:p w:rsidR="003C6FF4" w:rsidRDefault="003C6FF4" w:rsidP="003C6FF4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9325B7" w:rsidRPr="009325B7" w:rsidRDefault="0093598D">
      <w:pPr>
        <w:spacing w:line="280" w:lineRule="exact"/>
        <w:jc w:val="both"/>
        <w:rPr>
          <w:sz w:val="23"/>
        </w:rPr>
      </w:pPr>
      <w:r>
        <w:rPr>
          <w:sz w:val="23"/>
          <w:lang w:val="es-MX"/>
        </w:rPr>
        <w:t xml:space="preserve">El Proyecto </w:t>
      </w:r>
      <w:r w:rsidR="009325B7">
        <w:rPr>
          <w:sz w:val="23"/>
        </w:rPr>
        <w:t>consiste</w:t>
      </w:r>
      <w:r w:rsidR="00054D62">
        <w:rPr>
          <w:sz w:val="23"/>
        </w:rPr>
        <w:t xml:space="preserve"> </w:t>
      </w:r>
      <w:r w:rsidR="00850924">
        <w:rPr>
          <w:sz w:val="23"/>
        </w:rPr>
        <w:t xml:space="preserve">en la </w:t>
      </w:r>
      <w:r w:rsidR="00D075CC">
        <w:rPr>
          <w:sz w:val="23"/>
        </w:rPr>
        <w:t>remodelación de un atracadero existente con una superficie total de 121.72</w:t>
      </w:r>
      <w:r w:rsidR="009325B7">
        <w:rPr>
          <w:sz w:val="23"/>
        </w:rPr>
        <w:t xml:space="preserve"> m</w:t>
      </w:r>
      <w:r w:rsidR="009325B7">
        <w:rPr>
          <w:sz w:val="23"/>
          <w:vertAlign w:val="superscript"/>
        </w:rPr>
        <w:t>2</w:t>
      </w:r>
      <w:r w:rsidR="00D075CC">
        <w:rPr>
          <w:sz w:val="23"/>
        </w:rPr>
        <w:t>, en el cual se cambiarán algunas tablas y bases o pilotes, y al frente del atracadero, también sobre fondo de mar, se remodelará una plataforma de madera con pilotes de concreto, que cubre una superficie aproximada de 25 m</w:t>
      </w:r>
      <w:r w:rsidR="00D075CC">
        <w:rPr>
          <w:sz w:val="23"/>
          <w:vertAlign w:val="superscript"/>
        </w:rPr>
        <w:t>2</w:t>
      </w:r>
      <w:r w:rsidR="00D075CC">
        <w:rPr>
          <w:sz w:val="23"/>
        </w:rPr>
        <w:t xml:space="preserve">, a establecerse sobre 225.00 </w:t>
      </w:r>
      <w:r w:rsidR="00D075CC">
        <w:rPr>
          <w:sz w:val="23"/>
        </w:rPr>
        <w:t>m</w:t>
      </w:r>
      <w:r w:rsidR="00D075CC">
        <w:rPr>
          <w:sz w:val="23"/>
          <w:vertAlign w:val="superscript"/>
        </w:rPr>
        <w:t>2</w:t>
      </w:r>
      <w:r w:rsidR="00D075CC">
        <w:rPr>
          <w:sz w:val="23"/>
        </w:rPr>
        <w:t xml:space="preserve">solicitado en concesión al Estado. Ello hace un total de construcción sobre fondo de mar de 146.72 </w:t>
      </w:r>
      <w:r w:rsidR="00D075CC">
        <w:rPr>
          <w:sz w:val="23"/>
        </w:rPr>
        <w:t>m</w:t>
      </w:r>
      <w:r w:rsidR="00D075CC">
        <w:rPr>
          <w:sz w:val="23"/>
          <w:vertAlign w:val="superscript"/>
        </w:rPr>
        <w:t>2</w:t>
      </w:r>
      <w:r w:rsidR="00D075CC">
        <w:rPr>
          <w:sz w:val="23"/>
        </w:rPr>
        <w:t xml:space="preserve">, a construirse sobre 346.724 </w:t>
      </w:r>
      <w:r w:rsidR="00D075CC">
        <w:rPr>
          <w:sz w:val="23"/>
        </w:rPr>
        <w:t>m</w:t>
      </w:r>
      <w:r w:rsidR="00D075CC">
        <w:rPr>
          <w:sz w:val="23"/>
          <w:vertAlign w:val="superscript"/>
        </w:rPr>
        <w:t>2</w:t>
      </w:r>
      <w:r w:rsidR="00D075CC">
        <w:rPr>
          <w:sz w:val="23"/>
        </w:rPr>
        <w:t xml:space="preserve"> solicitados en concesión al Estado.</w:t>
      </w:r>
    </w:p>
    <w:p w:rsidR="00223BA6" w:rsidRPr="00C959DA" w:rsidRDefault="00223BA6">
      <w:pPr>
        <w:spacing w:line="280" w:lineRule="exact"/>
        <w:jc w:val="both"/>
        <w:rPr>
          <w:sz w:val="20"/>
          <w:szCs w:val="22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 w:rsidR="00223BA6" w:rsidRPr="00C959DA" w:rsidRDefault="00223BA6">
      <w:pPr>
        <w:tabs>
          <w:tab w:val="left" w:pos="0"/>
          <w:tab w:val="left" w:pos="1440"/>
        </w:tabs>
        <w:suppressAutoHyphens/>
        <w:rPr>
          <w:color w:val="000000"/>
          <w:sz w:val="20"/>
          <w:szCs w:val="22"/>
          <w:lang w:val="es-PA"/>
        </w:rPr>
      </w:pPr>
    </w:p>
    <w:p w:rsidR="00F004D5" w:rsidRDefault="00054D62" w:rsidP="00F004D5">
      <w:pPr>
        <w:spacing w:line="276" w:lineRule="auto"/>
        <w:jc w:val="both"/>
      </w:pPr>
      <w:r>
        <w:rPr>
          <w:b/>
          <w:color w:val="000000"/>
        </w:rPr>
        <w:t>VERIFICACION DE CONTENIDO</w:t>
      </w:r>
      <w:r w:rsidR="00F004D5" w:rsidRPr="00F004D5">
        <w:t xml:space="preserve"> </w:t>
      </w:r>
      <w:r w:rsidR="00F004D5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="00F004D5">
        <w:t>EsIA</w:t>
      </w:r>
      <w:proofErr w:type="spellEnd"/>
      <w:r w:rsidR="00F004D5">
        <w:t>), Fase de admisión.</w:t>
      </w:r>
    </w:p>
    <w:p w:rsidR="00F004D5" w:rsidRPr="00C959DA" w:rsidRDefault="00F004D5" w:rsidP="00F004D5">
      <w:pPr>
        <w:spacing w:line="276" w:lineRule="auto"/>
        <w:jc w:val="both"/>
        <w:rPr>
          <w:b/>
          <w:color w:val="000000"/>
          <w:sz w:val="18"/>
        </w:rPr>
      </w:pPr>
    </w:p>
    <w:p w:rsidR="00F004D5" w:rsidRDefault="00F004D5" w:rsidP="00F004D5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MX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Ambiente, para realizar Estudios de Impacto Ambiental.</w:t>
      </w:r>
      <w:r>
        <w:commentReference w:id="1"/>
      </w:r>
    </w:p>
    <w:p w:rsidR="00F004D5" w:rsidRPr="007B57C9" w:rsidRDefault="00F004D5" w:rsidP="00F004D5">
      <w:pPr>
        <w:tabs>
          <w:tab w:val="left" w:pos="0"/>
          <w:tab w:val="left" w:pos="1440"/>
        </w:tabs>
        <w:suppressAutoHyphens/>
        <w:jc w:val="both"/>
        <w:rPr>
          <w:color w:val="000000"/>
          <w:sz w:val="20"/>
        </w:rPr>
      </w:pPr>
    </w:p>
    <w:p w:rsidR="00F004D5" w:rsidRPr="00792AA6" w:rsidRDefault="00F004D5" w:rsidP="00F004D5">
      <w:pPr>
        <w:spacing w:line="240" w:lineRule="exact"/>
        <w:jc w:val="both"/>
        <w:rPr>
          <w:lang w:eastAsia="en-US"/>
        </w:rPr>
      </w:pPr>
      <w:r>
        <w:commentReference w:id="2"/>
      </w:r>
      <w:r>
        <w:t xml:space="preserve">Que luego de revisado el Estudio de Impacto Ambiental, Categoría I, del proyecto denominado </w:t>
      </w:r>
      <w:r>
        <w:rPr>
          <w:b/>
          <w:bCs/>
        </w:rPr>
        <w:t>“</w:t>
      </w:r>
      <w:r>
        <w:rPr>
          <w:b/>
          <w:color w:val="000000"/>
          <w:lang w:eastAsia="ar-SA"/>
        </w:rPr>
        <w:t>NJS PANAMÁ CORP</w:t>
      </w:r>
      <w:r>
        <w:rPr>
          <w:b/>
          <w:bCs/>
        </w:rPr>
        <w:t>”</w:t>
      </w:r>
      <w:r>
        <w:t xml:space="preserve">, </w:t>
      </w:r>
      <w:r w:rsidRPr="00792AA6">
        <w:t>se detectó que el mismo</w:t>
      </w:r>
      <w:r>
        <w:t xml:space="preserve">, </w:t>
      </w:r>
      <w:r w:rsidRPr="00792AA6">
        <w:t xml:space="preserve">presenta información que difiere de lo establecido en el artículo 38 del Decreto Ejecutivo No. 123 de 2009 </w:t>
      </w:r>
      <w:r>
        <w:t>y del Decreto Ejecu</w:t>
      </w:r>
      <w:r>
        <w:t>t</w:t>
      </w:r>
      <w:r>
        <w:t>ivo No. 36 de 3 de junio de 2019 en los siguientes puntos</w:t>
      </w:r>
      <w:r w:rsidRPr="00792AA6">
        <w:t>:</w:t>
      </w:r>
    </w:p>
    <w:p w:rsidR="00F004D5" w:rsidRPr="00792AA6" w:rsidRDefault="00F004D5" w:rsidP="00F004D5">
      <w:pPr>
        <w:numPr>
          <w:ilvl w:val="0"/>
          <w:numId w:val="3"/>
        </w:numPr>
        <w:tabs>
          <w:tab w:val="left" w:pos="3494"/>
          <w:tab w:val="left" w:pos="3686"/>
        </w:tabs>
        <w:jc w:val="both"/>
      </w:pPr>
      <w:r w:rsidRPr="00792AA6">
        <w:rPr>
          <w:lang w:val="es-MX"/>
        </w:rPr>
        <w:t xml:space="preserve">En la nota de solicitud, </w:t>
      </w:r>
      <w:r>
        <w:rPr>
          <w:lang w:val="es-MX"/>
        </w:rPr>
        <w:t>se indica que el número total de páginas es 10</w:t>
      </w:r>
      <w:r>
        <w:rPr>
          <w:lang w:val="es-MX"/>
        </w:rPr>
        <w:t>8</w:t>
      </w:r>
      <w:r>
        <w:rPr>
          <w:lang w:val="es-MX"/>
        </w:rPr>
        <w:t xml:space="preserve"> hojas, sin embargo en la documentación adjunta en el original del Estudio de Impacto Am</w:t>
      </w:r>
      <w:r>
        <w:rPr>
          <w:lang w:val="es-MX"/>
        </w:rPr>
        <w:t>biental, contiene un total de 85</w:t>
      </w:r>
      <w:bookmarkStart w:id="3" w:name="_GoBack"/>
      <w:bookmarkEnd w:id="3"/>
      <w:r>
        <w:rPr>
          <w:lang w:val="es-MX"/>
        </w:rPr>
        <w:t xml:space="preserve"> hojas.</w:t>
      </w:r>
    </w:p>
    <w:p w:rsidR="00223BA6" w:rsidRPr="00F004D5" w:rsidRDefault="00223BA6" w:rsidP="00F004D5">
      <w:pPr>
        <w:spacing w:line="276" w:lineRule="auto"/>
        <w:jc w:val="both"/>
        <w:rPr>
          <w:sz w:val="20"/>
          <w:szCs w:val="22"/>
          <w:u w:val="single"/>
        </w:rPr>
      </w:pPr>
    </w:p>
    <w:p w:rsidR="00223BA6" w:rsidRDefault="00054D62">
      <w:pPr>
        <w:jc w:val="both"/>
        <w:rPr>
          <w:b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>
        <w:commentReference w:id="4"/>
      </w:r>
      <w:r>
        <w:rPr>
          <w:lang w:val="es-MX"/>
        </w:rPr>
        <w:t xml:space="preserve"> </w:t>
      </w:r>
      <w:r w:rsidR="00F004D5" w:rsidRPr="00F004D5">
        <w:rPr>
          <w:b/>
          <w:lang w:val="es-MX"/>
        </w:rPr>
        <w:t>NO</w:t>
      </w:r>
      <w:r w:rsidR="00F004D5">
        <w:rPr>
          <w:lang w:val="es-MX"/>
        </w:rPr>
        <w:t xml:space="preserve"> </w:t>
      </w:r>
      <w:r w:rsidR="00FC1AA8" w:rsidRPr="00FC1AA8">
        <w:rPr>
          <w:b/>
          <w:lang w:val="es-MX"/>
        </w:rPr>
        <w:t>ADMITIR</w:t>
      </w:r>
      <w:r w:rsidR="00FC1AA8">
        <w:rPr>
          <w:color w:val="000000"/>
        </w:rPr>
        <w:t xml:space="preserve"> </w:t>
      </w:r>
      <w:r>
        <w:rPr>
          <w:color w:val="000000"/>
        </w:rPr>
        <w:t xml:space="preserve">el Estudio de Impacto Ambiental </w:t>
      </w:r>
      <w:r>
        <w:t xml:space="preserve">Categoría </w:t>
      </w:r>
      <w:r>
        <w:commentReference w:id="5"/>
      </w:r>
      <w:r>
        <w:rPr>
          <w:lang w:val="es-MX"/>
        </w:rPr>
        <w:t>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F004D5">
        <w:rPr>
          <w:b/>
          <w:color w:val="000000"/>
          <w:lang w:eastAsia="ar-SA"/>
        </w:rPr>
        <w:t>NJS PANAMÁ CORP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F004D5">
        <w:rPr>
          <w:color w:val="000000"/>
        </w:rPr>
        <w:t xml:space="preserve">la empresa </w:t>
      </w:r>
      <w:r w:rsidR="00F004D5">
        <w:rPr>
          <w:b/>
          <w:color w:val="000000"/>
          <w:lang w:eastAsia="ar-SA"/>
        </w:rPr>
        <w:t>NJS PANAMÁ</w:t>
      </w:r>
      <w:r w:rsidR="00F004D5">
        <w:rPr>
          <w:b/>
          <w:color w:val="000000"/>
          <w:lang w:eastAsia="ar-SA"/>
        </w:rPr>
        <w:t>,</w:t>
      </w:r>
      <w:r w:rsidR="00F004D5">
        <w:rPr>
          <w:b/>
          <w:color w:val="000000"/>
          <w:lang w:eastAsia="ar-SA"/>
        </w:rPr>
        <w:t xml:space="preserve"> CORP</w:t>
      </w:r>
      <w:r w:rsidR="007D5BE4">
        <w:rPr>
          <w:b/>
          <w:lang w:val="es-PA"/>
        </w:rPr>
        <w:t>.</w:t>
      </w: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7618E4" w:rsidTr="00CA571C">
        <w:trPr>
          <w:jc w:val="center"/>
        </w:trPr>
        <w:tc>
          <w:tcPr>
            <w:tcW w:w="3760" w:type="dxa"/>
            <w:vAlign w:val="center"/>
          </w:tcPr>
          <w:p w:rsidR="007618E4" w:rsidRPr="003C6FF4" w:rsidRDefault="007618E4" w:rsidP="00CA571C">
            <w:pPr>
              <w:jc w:val="center"/>
              <w:rPr>
                <w:b/>
                <w:caps/>
                <w:color w:val="000000"/>
                <w:sz w:val="20"/>
                <w:lang w:val="es-MX"/>
              </w:rPr>
            </w:pP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ING.GÉNESIS MONTENEGRO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7618E4" w:rsidRPr="003C6FF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sz w:val="20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7618E4" w:rsidTr="00CA571C">
        <w:trPr>
          <w:jc w:val="center"/>
        </w:trPr>
        <w:tc>
          <w:tcPr>
            <w:tcW w:w="8634" w:type="dxa"/>
            <w:gridSpan w:val="2"/>
            <w:vAlign w:val="center"/>
          </w:tcPr>
          <w:p w:rsidR="007618E4" w:rsidRPr="003C6FF4" w:rsidRDefault="007618E4" w:rsidP="007618E4">
            <w:pPr>
              <w:jc w:val="center"/>
              <w:rPr>
                <w:color w:val="000000"/>
                <w:sz w:val="20"/>
                <w:lang w:val="es-MX"/>
              </w:rPr>
            </w:pPr>
          </w:p>
          <w:p w:rsidR="007618E4" w:rsidRDefault="003C6FF4" w:rsidP="007618E4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</w:t>
            </w:r>
            <w:r w:rsidR="007618E4">
              <w:rPr>
                <w:color w:val="000000"/>
                <w:lang w:val="es-MX"/>
              </w:rPr>
              <w:t>___________________</w:t>
            </w:r>
          </w:p>
          <w:p w:rsidR="007618E4" w:rsidRDefault="007618E4" w:rsidP="00CA571C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</w:t>
            </w:r>
          </w:p>
          <w:p w:rsidR="007618E4" w:rsidRDefault="007618E4" w:rsidP="00CA571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 w:rsidR="00223BA6" w:rsidRDefault="00223BA6" w:rsidP="007618E4">
      <w:pPr>
        <w:tabs>
          <w:tab w:val="left" w:pos="708"/>
          <w:tab w:val="center" w:pos="4419"/>
          <w:tab w:val="right" w:pos="8838"/>
        </w:tabs>
      </w:pPr>
    </w:p>
    <w:sectPr w:rsidR="00223BA6" w:rsidSect="00C959DA">
      <w:headerReference w:type="default" r:id="rId10"/>
      <w:footerReference w:type="default" r:id="rId11"/>
      <w:pgSz w:w="12240" w:h="20160"/>
      <w:pgMar w:top="993" w:right="1701" w:bottom="1418" w:left="1701" w:header="397" w:footer="397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9-07-24T11:42:00Z" w:initials="JVR">
    <w:p w:rsidR="00223BA6" w:rsidRDefault="00054D62">
      <w:pPr>
        <w:pStyle w:val="Textocomentario"/>
      </w:pPr>
      <w:r>
        <w:t>La cantidad consultores puede aumentar</w:t>
      </w:r>
    </w:p>
  </w:comment>
  <w:comment w:id="1" w:author="Johana Valdes Rios" w:date="2019-07-29T15:30:00Z" w:initials="JVR">
    <w:p w:rsidR="00F004D5" w:rsidRDefault="00F004D5" w:rsidP="00F004D5">
      <w:pPr>
        <w:pStyle w:val="Textocomentario"/>
      </w:pPr>
      <w:r>
        <w:rPr>
          <w:color w:val="000000"/>
        </w:rPr>
        <w:t xml:space="preserve">Indicar el estatus de los consultores ambientales firmantes del </w:t>
      </w:r>
      <w:proofErr w:type="spellStart"/>
      <w:r>
        <w:rPr>
          <w:color w:val="000000"/>
        </w:rPr>
        <w:t>EsIA</w:t>
      </w:r>
      <w:proofErr w:type="spellEnd"/>
    </w:p>
  </w:comment>
  <w:comment w:id="2" w:author="Johana Valdes Rios" w:date="2019-07-29T15:30:00Z" w:initials="JVR">
    <w:p w:rsidR="00F004D5" w:rsidRDefault="00F004D5" w:rsidP="00F004D5">
      <w:pPr>
        <w:pStyle w:val="Textocomentario"/>
      </w:pPr>
      <w:r>
        <w:t>Indicar causales de admisión o no admisión</w:t>
      </w:r>
    </w:p>
  </w:comment>
  <w:comment w:id="4" w:author="Johana Valdes Rios" w:date="2018-06-27T11:23:00Z" w:initials="JVR">
    <w:p w:rsidR="00223BA6" w:rsidRDefault="00054D62">
      <w:r>
        <w:t>Las opciones son:</w:t>
      </w:r>
    </w:p>
    <w:p w:rsidR="00223BA6" w:rsidRDefault="00054D62">
      <w:pPr>
        <w:numPr>
          <w:ilvl w:val="0"/>
          <w:numId w:val="1"/>
        </w:numPr>
      </w:pPr>
      <w:r>
        <w:t>Admitir</w:t>
      </w:r>
    </w:p>
    <w:p w:rsidR="00223BA6" w:rsidRDefault="00054D62">
      <w:pPr>
        <w:numPr>
          <w:ilvl w:val="0"/>
          <w:numId w:val="1"/>
        </w:numPr>
      </w:pPr>
      <w:r>
        <w:t>No admitir</w:t>
      </w:r>
    </w:p>
  </w:comment>
  <w:comment w:id="5" w:author="Johana Valdes Rios" w:date="2018-06-27T11:24:00Z" w:initials="JVR">
    <w:p w:rsidR="00223BA6" w:rsidRDefault="00054D62">
      <w:pPr>
        <w:pStyle w:val="Textocomentario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BF2127C" w15:done="0"/>
  <w15:commentEx w15:paraId="5CAD4402" w15:done="0"/>
  <w15:commentEx w15:paraId="41FE058C" w15:done="0"/>
  <w15:commentEx w15:paraId="0BE708A6" w15:done="0"/>
  <w15:commentEx w15:paraId="333C00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251" w:rsidRDefault="00362251">
      <w:r>
        <w:separator/>
      </w:r>
    </w:p>
  </w:endnote>
  <w:endnote w:type="continuationSeparator" w:id="0">
    <w:p w:rsidR="00362251" w:rsidRDefault="0036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A6" w:rsidRDefault="00054D6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04D5">
      <w:rPr>
        <w:noProof/>
      </w:rPr>
      <w:t>1</w:t>
    </w:r>
    <w:r>
      <w:fldChar w:fldCharType="end"/>
    </w:r>
  </w:p>
  <w:p w:rsidR="00223BA6" w:rsidRDefault="00223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251" w:rsidRDefault="00362251">
      <w:r>
        <w:separator/>
      </w:r>
    </w:p>
  </w:footnote>
  <w:footnote w:type="continuationSeparator" w:id="0">
    <w:p w:rsidR="00362251" w:rsidRDefault="00362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6" w:type="dxa"/>
      <w:jc w:val="center"/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223BA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223BA6" w:rsidRDefault="00054D62">
          <w:r>
            <w:rPr>
              <w:noProof/>
              <w:lang w:val="es-PA" w:eastAsia="es-PA"/>
            </w:rPr>
            <w:drawing>
              <wp:inline distT="0" distB="0" distL="114300" distR="114300" wp14:anchorId="422BEFF3" wp14:editId="2AA121D5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223BA6" w:rsidRDefault="00054D6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23BA6" w:rsidRDefault="00054D6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 w:rsidR="007618E4" w:rsidRPr="007618E4" w:rsidRDefault="007618E4" w:rsidP="007618E4"/>
        <w:p w:rsidR="007618E4" w:rsidRPr="006245E1" w:rsidRDefault="00054D62" w:rsidP="007618E4">
          <w:pPr>
            <w:jc w:val="center"/>
            <w:rPr>
              <w:rFonts w:cs="Times New Roman"/>
              <w:b/>
            </w:rPr>
          </w:pP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 w:rsidR="007618E4" w:rsidRPr="006245E1">
            <w:rPr>
              <w:rFonts w:cs="Times New Roman"/>
              <w:b/>
            </w:rPr>
            <w:t xml:space="preserve"> Tel. 758-6603</w:t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  <w:t xml:space="preserve">Urb. </w:t>
          </w:r>
          <w:proofErr w:type="spellStart"/>
          <w:r w:rsidR="007618E4" w:rsidRPr="006245E1">
            <w:rPr>
              <w:rFonts w:cs="Times New Roman"/>
              <w:b/>
            </w:rPr>
            <w:t>Switche</w:t>
          </w:r>
          <w:proofErr w:type="spellEnd"/>
          <w:r w:rsidR="007618E4" w:rsidRPr="006245E1">
            <w:rPr>
              <w:rFonts w:cs="Times New Roman"/>
              <w:b/>
            </w:rPr>
            <w:t xml:space="preserve"> 4, Segunda Entrada</w:t>
          </w:r>
        </w:p>
        <w:p w:rsidR="00223BA6" w:rsidRPr="003C6FF4" w:rsidRDefault="007618E4" w:rsidP="003C6FF4">
          <w:pPr>
            <w:jc w:val="center"/>
            <w:rPr>
              <w:rFonts w:cs="Times New Roman"/>
              <w:b/>
            </w:rPr>
          </w:pPr>
          <w:r w:rsidRPr="006245E1">
            <w:rPr>
              <w:rFonts w:cs="Times New Roman"/>
              <w:b/>
            </w:rPr>
            <w:t>Fax 758-6603</w:t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proofErr w:type="spellStart"/>
          <w:r w:rsidRPr="006245E1">
            <w:rPr>
              <w:rFonts w:cs="Times New Roman"/>
              <w:b/>
            </w:rPr>
            <w:t>Changuinola</w:t>
          </w:r>
          <w:proofErr w:type="spellEnd"/>
          <w:r w:rsidRPr="006245E1">
            <w:rPr>
              <w:rFonts w:cs="Times New Roman"/>
              <w:b/>
            </w:rPr>
            <w:t>, Bocas del Toro</w:t>
          </w:r>
          <w:r w:rsidR="00054D62">
            <w:fldChar w:fldCharType="end"/>
          </w:r>
        </w:p>
      </w:tc>
    </w:tr>
  </w:tbl>
  <w:p w:rsidR="00223BA6" w:rsidRPr="003C6FF4" w:rsidRDefault="00223BA6" w:rsidP="007618E4">
    <w:pPr>
      <w:pStyle w:val="Encabezad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hybridMultilevel"/>
    <w:tmpl w:val="C1F6972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7FDC7D49"/>
    <w:multiLevelType w:val="multilevel"/>
    <w:tmpl w:val="7FDC7D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A6"/>
    <w:rsid w:val="00054D62"/>
    <w:rsid w:val="00075E0F"/>
    <w:rsid w:val="000F1ADE"/>
    <w:rsid w:val="00223BA6"/>
    <w:rsid w:val="00362251"/>
    <w:rsid w:val="00396801"/>
    <w:rsid w:val="003C6FF4"/>
    <w:rsid w:val="003F1BCF"/>
    <w:rsid w:val="004C525B"/>
    <w:rsid w:val="00744800"/>
    <w:rsid w:val="007618E4"/>
    <w:rsid w:val="007D5BE4"/>
    <w:rsid w:val="00814F8D"/>
    <w:rsid w:val="00836274"/>
    <w:rsid w:val="00850924"/>
    <w:rsid w:val="0087125D"/>
    <w:rsid w:val="008779B5"/>
    <w:rsid w:val="00891EA2"/>
    <w:rsid w:val="009325B7"/>
    <w:rsid w:val="0093598D"/>
    <w:rsid w:val="009D180C"/>
    <w:rsid w:val="00A64792"/>
    <w:rsid w:val="00B77B34"/>
    <w:rsid w:val="00C11783"/>
    <w:rsid w:val="00C6622A"/>
    <w:rsid w:val="00C959DA"/>
    <w:rsid w:val="00CF3C37"/>
    <w:rsid w:val="00D045EC"/>
    <w:rsid w:val="00D075CC"/>
    <w:rsid w:val="00E43475"/>
    <w:rsid w:val="00F004D5"/>
    <w:rsid w:val="00FC1AA8"/>
    <w:rsid w:val="0EB00595"/>
    <w:rsid w:val="130556EF"/>
    <w:rsid w:val="18DD426F"/>
    <w:rsid w:val="26F746EE"/>
    <w:rsid w:val="2CE9635F"/>
    <w:rsid w:val="3F05473C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Microsoft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Genesis Montenegro</cp:lastModifiedBy>
  <cp:revision>4</cp:revision>
  <cp:lastPrinted>2016-05-11T16:45:00Z</cp:lastPrinted>
  <dcterms:created xsi:type="dcterms:W3CDTF">2019-07-26T20:10:00Z</dcterms:created>
  <dcterms:modified xsi:type="dcterms:W3CDTF">2019-07-29T20:31:00Z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