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9" w:line="240" w:lineRule="auto"/>
        <w:ind w:left="2082" w:right="659" w:firstLine="6"/>
        <w:jc w:val="center"/>
        <w:rPr>
          <w:rFonts w:hint="default" w:ascii="Times New Roman" w:hAnsi="Times New Roman" w:cs="Times New Roman"/>
          <w:sz w:val="24"/>
          <w:szCs w:val="24"/>
          <w:lang w:val="zh-CN"/>
        </w:rPr>
      </w:pPr>
      <w:r>
        <w:rPr>
          <w:rFonts w:hint="default" w:ascii="Times New Roman" w:hAnsi="Times New Roman" w:cs="Times New Roman"/>
          <w:sz w:val="24"/>
          <w:szCs w:val="24"/>
        </w:rPr>
        <w:drawing>
          <wp:anchor distT="0" distB="0" distL="0" distR="0" simplePos="0" relativeHeight="251659264" behindDoc="0" locked="0" layoutInCell="1" allowOverlap="1">
            <wp:simplePos x="0" y="0"/>
            <wp:positionH relativeFrom="page">
              <wp:posOffset>1143000</wp:posOffset>
            </wp:positionH>
            <wp:positionV relativeFrom="paragraph">
              <wp:posOffset>47625</wp:posOffset>
            </wp:positionV>
            <wp:extent cx="835025" cy="996950"/>
            <wp:effectExtent l="9525" t="9525" r="12700" b="22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835025" cy="996950"/>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anchor>
        </w:drawing>
      </w:r>
      <w:r>
        <w:rPr>
          <w:rFonts w:hint="default" w:ascii="Times New Roman" w:hAnsi="Times New Roman" w:cs="Times New Roman"/>
          <w:sz w:val="24"/>
          <w:szCs w:val="24"/>
          <w:lang w:val="zh-CN"/>
        </w:rPr>
        <w:t>MINISTERIO DE AMBIENTE</w:t>
      </w:r>
    </w:p>
    <w:p>
      <w:pPr>
        <w:pStyle w:val="2"/>
        <w:shd w:val="clear"/>
        <w:spacing w:before="79" w:line="240" w:lineRule="auto"/>
        <w:ind w:left="2082" w:right="659" w:firstLine="6"/>
        <w:jc w:val="center"/>
        <w:rPr>
          <w:rFonts w:hint="default" w:ascii="Times New Roman" w:hAnsi="Times New Roman" w:cs="Times New Roman"/>
          <w:sz w:val="24"/>
          <w:szCs w:val="24"/>
          <w:shd w:val="clear" w:color="auto" w:fill="auto"/>
          <w:lang w:val="es-PA"/>
        </w:rPr>
      </w:pPr>
      <w:r>
        <w:rPr>
          <w:rFonts w:hint="default" w:ascii="Times New Roman" w:hAnsi="Times New Roman" w:cs="Times New Roman"/>
          <w:sz w:val="24"/>
          <w:szCs w:val="24"/>
          <w:shd w:val="clear" w:color="auto" w:fill="auto"/>
          <w:lang w:val="zh-CN"/>
        </w:rPr>
        <w:t xml:space="preserve"> DIRECCIÓN</w:t>
      </w:r>
      <w:r>
        <w:rPr>
          <w:rFonts w:hint="default" w:ascii="Times New Roman" w:hAnsi="Times New Roman" w:cs="Times New Roman"/>
          <w:sz w:val="24"/>
          <w:szCs w:val="24"/>
          <w:shd w:val="clear" w:color="auto" w:fill="auto"/>
          <w:lang w:val="es-PA"/>
        </w:rPr>
        <w:t xml:space="preserve"> </w:t>
      </w:r>
      <w:r>
        <w:rPr>
          <w:rFonts w:hint="default" w:ascii="Times New Roman" w:hAnsi="Times New Roman" w:cs="Times New Roman"/>
          <w:sz w:val="24"/>
          <w:szCs w:val="24"/>
          <w:shd w:val="clear" w:color="auto" w:fill="auto"/>
          <w:lang w:val="zh-CN"/>
        </w:rPr>
        <w:t>REGIONAL</w:t>
      </w:r>
      <w:r>
        <w:rPr>
          <w:rFonts w:hint="default" w:ascii="Times New Roman" w:hAnsi="Times New Roman" w:cs="Times New Roman"/>
          <w:sz w:val="24"/>
          <w:szCs w:val="24"/>
          <w:shd w:val="clear" w:color="auto" w:fill="auto"/>
          <w:lang w:val="es-PA"/>
        </w:rPr>
        <w:t xml:space="preserve"> DE HERRERA</w:t>
      </w:r>
    </w:p>
    <w:p>
      <w:pPr>
        <w:pStyle w:val="2"/>
        <w:spacing w:before="10" w:line="240" w:lineRule="auto"/>
        <w:rPr>
          <w:rFonts w:hint="default" w:ascii="Times New Roman" w:hAnsi="Times New Roman" w:cs="Times New Roman"/>
          <w:sz w:val="24"/>
          <w:szCs w:val="24"/>
          <w:lang w:val="zh-CN"/>
        </w:rPr>
      </w:pPr>
    </w:p>
    <w:p>
      <w:pPr>
        <w:spacing w:line="240" w:lineRule="auto"/>
        <w:ind w:right="466"/>
        <w:jc w:val="right"/>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Tel. </w:t>
      </w:r>
      <w:r>
        <w:rPr>
          <w:rFonts w:hint="default" w:ascii="Times New Roman" w:hAnsi="Times New Roman" w:cs="Times New Roman"/>
          <w:sz w:val="24"/>
          <w:szCs w:val="24"/>
          <w:lang w:val="es-PA"/>
        </w:rPr>
        <w:t>996-7675</w:t>
      </w:r>
    </w:p>
    <w:p>
      <w:pPr>
        <w:spacing w:before="1" w:line="240" w:lineRule="auto"/>
        <w:ind w:right="460"/>
        <w:jc w:val="right"/>
        <w:rPr>
          <w:rFonts w:hint="default" w:ascii="Times New Roman" w:hAnsi="Times New Roman" w:cs="Times New Roman"/>
          <w:sz w:val="24"/>
          <w:szCs w:val="24"/>
          <w:lang w:val="zh-CN"/>
        </w:rPr>
      </w:pPr>
      <w:r>
        <w:rPr>
          <w:rFonts w:hint="default" w:ascii="Times New Roman" w:hAnsi="Times New Roman" w:cs="Times New Roman"/>
          <w:color w:val="0000FF"/>
          <w:sz w:val="24"/>
          <w:szCs w:val="24"/>
          <w:u w:val="single" w:color="0000FF"/>
          <w:lang w:val="zh-CN"/>
        </w:rPr>
        <w:fldChar w:fldCharType="begin"/>
      </w:r>
      <w:r>
        <w:rPr>
          <w:rFonts w:hint="default" w:ascii="Times New Roman" w:hAnsi="Times New Roman" w:cs="Times New Roman"/>
          <w:color w:val="0000FF"/>
          <w:sz w:val="24"/>
          <w:szCs w:val="24"/>
          <w:u w:val="single" w:color="0000FF"/>
          <w:lang w:val="zh-CN"/>
        </w:rPr>
        <w:instrText xml:space="preserve"> HYPERLINK "http://www.miambiente.gob.pa/" \h </w:instrText>
      </w:r>
      <w:r>
        <w:rPr>
          <w:rFonts w:hint="default" w:ascii="Times New Roman" w:hAnsi="Times New Roman" w:cs="Times New Roman"/>
          <w:color w:val="0000FF"/>
          <w:sz w:val="24"/>
          <w:szCs w:val="24"/>
          <w:u w:val="single" w:color="0000FF"/>
          <w:lang w:val="zh-CN"/>
        </w:rPr>
        <w:fldChar w:fldCharType="separate"/>
      </w:r>
      <w:r>
        <w:rPr>
          <w:rFonts w:hint="default" w:ascii="Times New Roman" w:hAnsi="Times New Roman" w:cs="Times New Roman"/>
          <w:color w:val="0000FF"/>
          <w:sz w:val="24"/>
          <w:szCs w:val="24"/>
          <w:u w:val="single" w:color="0000FF"/>
          <w:lang w:val="zh-CN"/>
        </w:rPr>
        <w:t>www.miambiente.gob.pa</w:t>
      </w:r>
      <w:r>
        <w:rPr>
          <w:rFonts w:hint="default" w:ascii="Times New Roman" w:hAnsi="Times New Roman" w:cs="Times New Roman"/>
          <w:color w:val="0000FF"/>
          <w:sz w:val="24"/>
          <w:szCs w:val="24"/>
          <w:u w:val="single" w:color="0000FF"/>
          <w:lang w:val="zh-CN"/>
        </w:rPr>
        <w:fldChar w:fldCharType="end"/>
      </w:r>
    </w:p>
    <w:p>
      <w:pPr>
        <w:pStyle w:val="2"/>
        <w:spacing w:before="3" w:line="240" w:lineRule="auto"/>
        <w:rPr>
          <w:rFonts w:hint="default" w:ascii="Times New Roman" w:hAnsi="Times New Roman" w:cs="Times New Roman"/>
          <w:sz w:val="24"/>
          <w:szCs w:val="24"/>
          <w:lang w:val="zh-CN"/>
        </w:rPr>
      </w:pPr>
    </w:p>
    <w:p>
      <w:pPr>
        <w:pStyle w:val="2"/>
        <w:spacing w:before="89" w:line="240" w:lineRule="auto"/>
        <w:ind w:left="3233" w:right="3228"/>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FORMATO EIA-FEVA-011</w:t>
      </w:r>
    </w:p>
    <w:p>
      <w:pPr>
        <w:pStyle w:val="2"/>
        <w:spacing w:before="3" w:line="240" w:lineRule="auto"/>
        <w:rPr>
          <w:rFonts w:hint="default" w:ascii="Times New Roman" w:hAnsi="Times New Roman" w:cs="Times New Roman"/>
          <w:sz w:val="24"/>
          <w:szCs w:val="24"/>
          <w:lang w:val="zh-CN"/>
        </w:rPr>
      </w:pPr>
    </w:p>
    <w:p>
      <w:pPr>
        <w:pStyle w:val="2"/>
        <w:spacing w:before="89" w:line="240" w:lineRule="auto"/>
        <w:ind w:left="119"/>
        <w:jc w:val="both"/>
        <w:rPr>
          <w:rFonts w:hint="default" w:ascii="Times New Roman" w:hAnsi="Times New Roman" w:cs="Times New Roman"/>
          <w:color w:val="FF0000"/>
          <w:sz w:val="24"/>
          <w:szCs w:val="24"/>
          <w:shd w:val="clear" w:color="auto" w:fill="auto"/>
          <w:lang w:val="es-PA"/>
        </w:rPr>
      </w:pPr>
      <w:r>
        <w:rPr>
          <w:rFonts w:hint="default" w:ascii="Times New Roman" w:hAnsi="Times New Roman" w:cs="Times New Roman"/>
          <w:color w:val="auto"/>
          <w:sz w:val="24"/>
          <w:szCs w:val="24"/>
          <w:shd w:val="clear" w:color="auto" w:fill="auto"/>
          <w:lang w:val="es-PA"/>
        </w:rPr>
        <w:t>Chitré</w:t>
      </w:r>
      <w:r>
        <w:rPr>
          <w:rFonts w:hint="default" w:ascii="Times New Roman" w:hAnsi="Times New Roman" w:cs="Times New Roman"/>
          <w:color w:val="auto"/>
          <w:sz w:val="24"/>
          <w:szCs w:val="24"/>
          <w:shd w:val="clear" w:color="auto" w:fill="auto"/>
          <w:lang w:val="zh-CN"/>
        </w:rPr>
        <w:t xml:space="preserve">, </w:t>
      </w:r>
      <w:r>
        <w:rPr>
          <w:rFonts w:hint="default" w:cs="Times New Roman"/>
          <w:color w:val="auto"/>
          <w:sz w:val="24"/>
          <w:szCs w:val="24"/>
          <w:shd w:val="clear" w:color="auto" w:fill="auto"/>
          <w:lang w:val="es-PA"/>
        </w:rPr>
        <w:t>31</w:t>
      </w:r>
      <w:r>
        <w:rPr>
          <w:rFonts w:hint="default" w:ascii="Times New Roman" w:hAnsi="Times New Roman" w:cs="Times New Roman"/>
          <w:color w:val="auto"/>
          <w:sz w:val="24"/>
          <w:szCs w:val="24"/>
          <w:shd w:val="clear" w:color="auto" w:fill="auto"/>
          <w:lang w:val="es-PA"/>
        </w:rPr>
        <w:t xml:space="preserve"> </w:t>
      </w:r>
      <w:r>
        <w:rPr>
          <w:rFonts w:hint="default" w:ascii="Times New Roman" w:hAnsi="Times New Roman" w:cs="Times New Roman"/>
          <w:color w:val="auto"/>
          <w:sz w:val="24"/>
          <w:szCs w:val="24"/>
          <w:shd w:val="clear" w:color="auto" w:fill="auto"/>
          <w:lang w:val="zh-CN"/>
        </w:rPr>
        <w:t xml:space="preserve">de </w:t>
      </w:r>
      <w:r>
        <w:rPr>
          <w:rFonts w:hint="default" w:cs="Times New Roman"/>
          <w:color w:val="auto"/>
          <w:sz w:val="24"/>
          <w:szCs w:val="24"/>
          <w:shd w:val="clear" w:color="auto" w:fill="auto"/>
          <w:lang w:val="es-PA"/>
        </w:rPr>
        <w:t>Julio</w:t>
      </w:r>
      <w:r>
        <w:rPr>
          <w:rFonts w:hint="default" w:ascii="Times New Roman" w:hAnsi="Times New Roman" w:cs="Times New Roman"/>
          <w:color w:val="auto"/>
          <w:sz w:val="24"/>
          <w:szCs w:val="24"/>
          <w:shd w:val="clear" w:color="auto" w:fill="auto"/>
          <w:lang w:val="es-PA"/>
        </w:rPr>
        <w:t xml:space="preserve"> </w:t>
      </w:r>
      <w:r>
        <w:rPr>
          <w:rFonts w:hint="default" w:ascii="Times New Roman" w:hAnsi="Times New Roman" w:cs="Times New Roman"/>
          <w:color w:val="auto"/>
          <w:sz w:val="24"/>
          <w:szCs w:val="24"/>
          <w:shd w:val="clear" w:color="auto" w:fill="auto"/>
          <w:lang w:val="zh-CN"/>
        </w:rPr>
        <w:t xml:space="preserve">de </w:t>
      </w:r>
      <w:r>
        <w:rPr>
          <w:rFonts w:hint="default" w:ascii="Times New Roman" w:hAnsi="Times New Roman" w:cs="Times New Roman"/>
          <w:color w:val="auto"/>
          <w:sz w:val="24"/>
          <w:szCs w:val="24"/>
          <w:shd w:val="clear" w:color="auto" w:fill="auto"/>
          <w:lang w:val="es-PA"/>
        </w:rPr>
        <w:t>2019</w:t>
      </w:r>
    </w:p>
    <w:p>
      <w:pPr>
        <w:pStyle w:val="2"/>
        <w:spacing w:line="240" w:lineRule="auto"/>
        <w:ind w:left="119"/>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DRHE-</w:t>
      </w:r>
      <w:r>
        <w:rPr>
          <w:rFonts w:hint="default" w:cs="Times New Roman"/>
          <w:color w:val="auto"/>
          <w:sz w:val="24"/>
          <w:szCs w:val="24"/>
          <w:lang w:val="es-PA"/>
        </w:rPr>
        <w:t>1177</w:t>
      </w:r>
      <w:r>
        <w:rPr>
          <w:rFonts w:hint="default" w:ascii="Times New Roman" w:hAnsi="Times New Roman" w:cs="Times New Roman"/>
          <w:color w:val="auto"/>
          <w:sz w:val="24"/>
          <w:szCs w:val="24"/>
          <w:lang w:val="es-PA"/>
        </w:rPr>
        <w:t>-2019</w:t>
      </w:r>
    </w:p>
    <w:p>
      <w:pPr>
        <w:pStyle w:val="2"/>
        <w:spacing w:before="10"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Señor</w:t>
      </w:r>
    </w:p>
    <w:p>
      <w:pPr>
        <w:pStyle w:val="2"/>
        <w:spacing w:before="9" w:line="240" w:lineRule="auto"/>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 xml:space="preserve">  JORGE AUGUSTO ARRUE MARTIZ</w:t>
      </w:r>
    </w:p>
    <w:p>
      <w:pPr>
        <w:pStyle w:val="2"/>
        <w:spacing w:before="9" w:line="240" w:lineRule="auto"/>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  Promotor</w:t>
      </w:r>
    </w:p>
    <w:p>
      <w:pPr>
        <w:pStyle w:val="2"/>
        <w:spacing w:before="2" w:line="240" w:lineRule="auto"/>
        <w:jc w:val="both"/>
        <w:rPr>
          <w:rFonts w:hint="default" w:ascii="Times New Roman" w:hAnsi="Times New Roman" w:cs="Times New Roman"/>
          <w:sz w:val="24"/>
          <w:szCs w:val="24"/>
          <w:lang w:val="zh-CN"/>
        </w:rPr>
      </w:pPr>
    </w:p>
    <w:p>
      <w:pPr>
        <w:pStyle w:val="2"/>
        <w:spacing w:before="2"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E. S. D.</w:t>
      </w:r>
    </w:p>
    <w:p>
      <w:pPr>
        <w:pStyle w:val="2"/>
        <w:spacing w:line="240" w:lineRule="auto"/>
        <w:jc w:val="both"/>
        <w:rPr>
          <w:rFonts w:hint="default" w:ascii="Times New Roman" w:hAnsi="Times New Roman" w:cs="Times New Roman"/>
          <w:sz w:val="24"/>
          <w:szCs w:val="24"/>
          <w:lang w:val="zh-CN"/>
        </w:rPr>
      </w:pPr>
    </w:p>
    <w:p>
      <w:pPr>
        <w:pStyle w:val="2"/>
        <w:spacing w:line="240" w:lineRule="auto"/>
        <w:jc w:val="both"/>
        <w:rPr>
          <w:rFonts w:hint="default" w:ascii="Times New Roman" w:hAnsi="Times New Roman" w:cs="Times New Roman"/>
          <w:sz w:val="24"/>
          <w:szCs w:val="24"/>
          <w:lang w:val="zh-CN"/>
        </w:rPr>
      </w:pPr>
    </w:p>
    <w:p>
      <w:pPr>
        <w:pStyle w:val="2"/>
        <w:tabs>
          <w:tab w:val="left" w:pos="1696"/>
        </w:tabs>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es-PA"/>
        </w:rPr>
        <w:t>Señor ARRUE</w:t>
      </w:r>
      <w:r>
        <w:rPr>
          <w:rFonts w:hint="default" w:ascii="Times New Roman" w:hAnsi="Times New Roman" w:cs="Times New Roman"/>
          <w:sz w:val="24"/>
          <w:szCs w:val="24"/>
          <w:lang w:val="zh-CN"/>
        </w:rPr>
        <w:t>:</w:t>
      </w:r>
    </w:p>
    <w:p>
      <w:pPr>
        <w:pStyle w:val="2"/>
        <w:spacing w:line="240" w:lineRule="auto"/>
        <w:jc w:val="both"/>
        <w:rPr>
          <w:rFonts w:hint="default" w:ascii="Times New Roman" w:hAnsi="Times New Roman" w:cs="Times New Roman"/>
          <w:sz w:val="24"/>
          <w:szCs w:val="24"/>
          <w:lang w:val="zh-CN"/>
        </w:rPr>
      </w:pPr>
    </w:p>
    <w:p>
      <w:pPr>
        <w:spacing w:before="180" w:line="240" w:lineRule="auto"/>
        <w:ind w:left="119" w:right="72"/>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Por medio de la presente, de acuerdo a lo establecido en el artículo 43 de Decreto Ejecutivo 123 del 14 de agosto de 2009, modificado por el Decreto Ejecutivo de 155 de agosto de 2011, le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solicitamos información aclaratoria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al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Estudio de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Impacto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Ambiental (EsIA)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Categoría</w:t>
      </w:r>
      <w:r>
        <w:rPr>
          <w:rFonts w:hint="default" w:ascii="Times New Roman" w:hAnsi="Times New Roman" w:cs="Times New Roman"/>
          <w:sz w:val="24"/>
          <w:szCs w:val="24"/>
          <w:lang w:val="es-PA"/>
        </w:rPr>
        <w:t xml:space="preserve"> I</w:t>
      </w:r>
      <w:r>
        <w:rPr>
          <w:rFonts w:hint="default" w:ascii="Times New Roman" w:hAnsi="Times New Roman" w:cs="Times New Roman"/>
          <w:sz w:val="24"/>
          <w:szCs w:val="24"/>
          <w:lang w:val="zh-CN"/>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denominado</w:t>
      </w: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rPr>
        <w:t>“</w:t>
      </w:r>
      <w:r>
        <w:rPr>
          <w:rFonts w:hint="default" w:ascii="Times New Roman" w:hAnsi="Times New Roman" w:cs="Times New Roman"/>
          <w:b/>
          <w:bCs/>
          <w:sz w:val="24"/>
          <w:szCs w:val="24"/>
          <w:lang w:val="es-PA"/>
        </w:rPr>
        <w:t>RESIDENCIAL ARRUE”</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 xml:space="preserve">desarrollarse en el corregimiento </w:t>
      </w:r>
      <w:r>
        <w:rPr>
          <w:rFonts w:hint="default" w:ascii="Times New Roman" w:hAnsi="Times New Roman" w:cs="Times New Roman"/>
          <w:sz w:val="24"/>
          <w:szCs w:val="24"/>
          <w:lang w:val="es-PA"/>
        </w:rPr>
        <w:t>San Juan Bautista</w:t>
      </w:r>
      <w:r>
        <w:rPr>
          <w:rFonts w:hint="default" w:ascii="Times New Roman" w:hAnsi="Times New Roman" w:cs="Times New Roman"/>
          <w:sz w:val="24"/>
          <w:szCs w:val="24"/>
          <w:lang w:val="zh-CN"/>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distrito de</w:t>
      </w:r>
      <w:r>
        <w:rPr>
          <w:rFonts w:hint="default" w:ascii="Times New Roman" w:hAnsi="Times New Roman" w:cs="Times New Roman"/>
          <w:sz w:val="24"/>
          <w:szCs w:val="24"/>
          <w:lang w:val="es-PA"/>
        </w:rPr>
        <w:t xml:space="preserve"> Chitré</w:t>
      </w:r>
      <w:r>
        <w:rPr>
          <w:rFonts w:hint="default" w:ascii="Times New Roman" w:hAnsi="Times New Roman" w:cs="Times New Roman"/>
          <w:sz w:val="24"/>
          <w:szCs w:val="24"/>
          <w:lang w:val="zh-CN"/>
        </w:rPr>
        <w:t>, en la provincia</w:t>
      </w:r>
      <w:r>
        <w:rPr>
          <w:rFonts w:hint="default" w:ascii="Times New Roman" w:hAnsi="Times New Roman" w:cs="Times New Roman"/>
          <w:sz w:val="24"/>
          <w:szCs w:val="24"/>
          <w:lang w:val="es-PA"/>
        </w:rPr>
        <w:t xml:space="preserve"> de Herrera</w:t>
      </w:r>
      <w:r>
        <w:rPr>
          <w:rFonts w:hint="default" w:ascii="Times New Roman" w:hAnsi="Times New Roman" w:cs="Times New Roman"/>
          <w:sz w:val="24"/>
          <w:szCs w:val="24"/>
          <w:lang w:val="zh-CN"/>
        </w:rPr>
        <w:t>, en lo siguiente:</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cs="Times New Roman"/>
          <w:i w:val="0"/>
          <w:iCs w:val="0"/>
          <w:color w:val="auto"/>
          <w:sz w:val="24"/>
          <w:szCs w:val="24"/>
          <w:lang w:val="es-PA"/>
        </w:rPr>
        <w:t xml:space="preserve"> </w:t>
      </w:r>
      <w:r>
        <w:rPr>
          <w:rFonts w:hint="default" w:ascii="Times New Roman" w:hAnsi="Times New Roman" w:cs="Times New Roman"/>
          <w:i w:val="0"/>
          <w:iCs w:val="0"/>
          <w:color w:val="auto"/>
          <w:sz w:val="24"/>
          <w:szCs w:val="24"/>
          <w:lang w:val="es-PA"/>
        </w:rPr>
        <w:t xml:space="preserve">En la </w:t>
      </w:r>
      <w:r>
        <w:rPr>
          <w:rFonts w:hint="default" w:ascii="Times New Roman" w:hAnsi="Times New Roman" w:cs="Times New Roman"/>
          <w:b/>
          <w:bCs/>
          <w:i w:val="0"/>
          <w:iCs w:val="0"/>
          <w:color w:val="auto"/>
          <w:sz w:val="24"/>
          <w:szCs w:val="24"/>
          <w:lang w:val="es-PA"/>
        </w:rPr>
        <w:t>Sección 2</w:t>
      </w:r>
      <w:r>
        <w:rPr>
          <w:rFonts w:hint="default" w:ascii="Times New Roman" w:hAnsi="Times New Roman" w:cs="Times New Roman"/>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Resumen Ejecutivo</w:t>
      </w:r>
      <w:r>
        <w:rPr>
          <w:rFonts w:hint="default" w:ascii="Times New Roman" w:hAnsi="Times New Roman" w:cs="Times New Roman"/>
          <w:i w:val="0"/>
          <w:iCs w:val="0"/>
          <w:color w:val="auto"/>
          <w:sz w:val="24"/>
          <w:szCs w:val="24"/>
          <w:lang w:val="es-PA"/>
        </w:rPr>
        <w:t xml:space="preserve"> (página 5), se indica que </w:t>
      </w:r>
      <w:r>
        <w:rPr>
          <w:rFonts w:hint="default" w:ascii="Times New Roman" w:hAnsi="Times New Roman" w:cs="Times New Roman"/>
          <w:i/>
          <w:iCs/>
          <w:color w:val="auto"/>
          <w:sz w:val="24"/>
          <w:szCs w:val="24"/>
          <w:lang w:val="es-PA"/>
        </w:rPr>
        <w:t>“El área total de construcción  es de 3612.8 m</w:t>
      </w:r>
      <w:r>
        <w:rPr>
          <w:rFonts w:hint="default" w:ascii="Times New Roman" w:hAnsi="Times New Roman" w:cs="Times New Roman"/>
          <w:i/>
          <w:iCs/>
          <w:color w:val="auto"/>
          <w:sz w:val="24"/>
          <w:szCs w:val="24"/>
          <w:vertAlign w:val="superscript"/>
          <w:lang w:val="es-PA"/>
        </w:rPr>
        <w:t>2</w:t>
      </w:r>
      <w:r>
        <w:rPr>
          <w:rFonts w:hint="default" w:ascii="Times New Roman" w:hAnsi="Times New Roman" w:cs="Times New Roman"/>
          <w:i/>
          <w:iCs/>
          <w:color w:val="auto"/>
          <w:sz w:val="24"/>
          <w:szCs w:val="24"/>
          <w:vertAlign w:val="baseline"/>
          <w:lang w:val="es-PA"/>
        </w:rPr>
        <w:t>, lo cual representa la suma de los nueve lotes segregados a nombre del promotor que se pretenden desarrollar, dentro de la finca madre”</w:t>
      </w:r>
      <w:r>
        <w:rPr>
          <w:rFonts w:hint="default" w:ascii="Times New Roman" w:hAnsi="Times New Roman" w:cs="Times New Roman"/>
          <w:i w:val="0"/>
          <w:iCs w:val="0"/>
          <w:color w:val="auto"/>
          <w:sz w:val="24"/>
          <w:szCs w:val="24"/>
          <w:vertAlign w:val="baseline"/>
          <w:lang w:val="es-PA"/>
        </w:rPr>
        <w:t xml:space="preserve">, sin embargo, la superficie total de las fincas incluidas dentro del alcance del EsIA, con Folio Real </w:t>
      </w:r>
      <w:r>
        <w:rPr>
          <w:rFonts w:hint="default" w:ascii="Times New Roman" w:hAnsi="Times New Roman" w:cs="Times New Roman"/>
          <w:i w:val="0"/>
          <w:iCs w:val="0"/>
          <w:color w:val="auto"/>
          <w:sz w:val="24"/>
          <w:szCs w:val="24"/>
          <w:vertAlign w:val="baseline"/>
          <w:lang w:val="zh-CN"/>
        </w:rPr>
        <w:t>No.30214073, No.30207663, No.30207672, No.30211307, No.30300645, No.30300585, No.30211389, No.30300802 y</w:t>
      </w:r>
      <w:r>
        <w:rPr>
          <w:rFonts w:hint="default" w:ascii="Times New Roman" w:hAnsi="Times New Roman" w:cs="Times New Roman"/>
          <w:i w:val="0"/>
          <w:iCs w:val="0"/>
          <w:color w:val="auto"/>
          <w:sz w:val="24"/>
          <w:szCs w:val="24"/>
          <w:vertAlign w:val="baseline"/>
          <w:lang w:val="es-PA"/>
        </w:rPr>
        <w:t xml:space="preserve"> </w:t>
      </w:r>
      <w:r>
        <w:rPr>
          <w:rFonts w:hint="default" w:ascii="Times New Roman" w:hAnsi="Times New Roman" w:cs="Times New Roman"/>
          <w:i w:val="0"/>
          <w:iCs w:val="0"/>
          <w:color w:val="auto"/>
          <w:sz w:val="24"/>
          <w:szCs w:val="24"/>
          <w:vertAlign w:val="baseline"/>
          <w:lang w:val="zh-CN"/>
        </w:rPr>
        <w:t>No.30301033</w:t>
      </w:r>
      <w:r>
        <w:rPr>
          <w:rFonts w:hint="default" w:ascii="Times New Roman" w:hAnsi="Times New Roman" w:cs="Times New Roman"/>
          <w:i w:val="0"/>
          <w:iCs w:val="0"/>
          <w:color w:val="auto"/>
          <w:sz w:val="24"/>
          <w:szCs w:val="24"/>
          <w:vertAlign w:val="baseline"/>
          <w:lang w:val="es-PA"/>
        </w:rPr>
        <w:t>, da una sumatoria de 4062.80 m</w:t>
      </w:r>
      <w:r>
        <w:rPr>
          <w:rFonts w:hint="default" w:ascii="Times New Roman" w:hAnsi="Times New Roman" w:cs="Times New Roman"/>
          <w:i w:val="0"/>
          <w:iCs w:val="0"/>
          <w:color w:val="auto"/>
          <w:sz w:val="24"/>
          <w:szCs w:val="24"/>
          <w:vertAlign w:val="superscript"/>
          <w:lang w:val="es-PA"/>
        </w:rPr>
        <w:t xml:space="preserve">2 </w:t>
      </w:r>
      <w:r>
        <w:rPr>
          <w:rFonts w:hint="default" w:ascii="Times New Roman" w:hAnsi="Times New Roman" w:cs="Times New Roman"/>
          <w:i w:val="0"/>
          <w:iCs w:val="0"/>
          <w:color w:val="auto"/>
          <w:sz w:val="24"/>
          <w:szCs w:val="24"/>
          <w:vertAlign w:val="baseline"/>
          <w:lang w:val="es-PA"/>
        </w:rPr>
        <w:t xml:space="preserve">(de acuerdo a los Certificados de Propiedad del Registro de Público de Panamá). </w:t>
      </w:r>
      <w:r>
        <w:rPr>
          <w:rFonts w:hint="default" w:ascii="Times New Roman" w:hAnsi="Times New Roman" w:cs="Times New Roman"/>
          <w:sz w:val="24"/>
          <w:szCs w:val="24"/>
          <w:lang w:val="es-PA"/>
        </w:rPr>
        <w:t xml:space="preserve">Según </w:t>
      </w:r>
      <w:r>
        <w:rPr>
          <w:rFonts w:hint="default" w:cs="Times New Roman"/>
          <w:sz w:val="24"/>
          <w:szCs w:val="24"/>
          <w:lang w:val="es-PA"/>
        </w:rPr>
        <w:t>la</w:t>
      </w:r>
      <w:r>
        <w:rPr>
          <w:rFonts w:hint="default" w:ascii="Times New Roman" w:hAnsi="Times New Roman" w:cs="Times New Roman"/>
          <w:sz w:val="24"/>
          <w:szCs w:val="24"/>
          <w:lang w:val="es-PA"/>
        </w:rPr>
        <w:t xml:space="preserve"> verificación de coordenadas, emitido por el Departamento de Geomática del Ministerio de Ambiente, se establece que</w:t>
      </w:r>
      <w:r>
        <w:rPr>
          <w:rFonts w:hint="default" w:cs="Times New Roman"/>
          <w:sz w:val="24"/>
          <w:szCs w:val="24"/>
          <w:lang w:val="es-PA"/>
        </w:rPr>
        <w:t xml:space="preserve"> </w:t>
      </w:r>
      <w:r>
        <w:rPr>
          <w:rFonts w:hint="default" w:cs="Times New Roman"/>
          <w:b w:val="0"/>
          <w:bCs w:val="0"/>
          <w:i/>
          <w:iCs/>
          <w:color w:val="auto"/>
          <w:sz w:val="24"/>
          <w:szCs w:val="24"/>
          <w:lang w:val="es-PA"/>
        </w:rPr>
        <w:t>“</w:t>
      </w:r>
      <w:r>
        <w:rPr>
          <w:rFonts w:hint="default" w:cs="Times New Roman"/>
          <w:b w:val="0"/>
          <w:bCs w:val="0"/>
          <w:i/>
          <w:iCs/>
          <w:color w:val="auto"/>
          <w:sz w:val="24"/>
          <w:szCs w:val="24"/>
          <w:vertAlign w:val="baseline"/>
          <w:lang w:val="es-PA"/>
        </w:rPr>
        <w:t>el polígono consta de un área aproximada de 4560 m</w:t>
      </w:r>
      <w:r>
        <w:rPr>
          <w:rFonts w:hint="default" w:cs="Times New Roman"/>
          <w:b w:val="0"/>
          <w:bCs w:val="0"/>
          <w:i/>
          <w:iCs/>
          <w:color w:val="auto"/>
          <w:sz w:val="24"/>
          <w:szCs w:val="24"/>
          <w:vertAlign w:val="superscript"/>
          <w:lang w:val="es-PA"/>
        </w:rPr>
        <w:t>2</w:t>
      </w:r>
      <w:r>
        <w:rPr>
          <w:rFonts w:hint="default" w:cs="Times New Roman"/>
          <w:b w:val="0"/>
          <w:bCs w:val="0"/>
          <w:i/>
          <w:iCs/>
          <w:color w:val="auto"/>
          <w:sz w:val="24"/>
          <w:szCs w:val="24"/>
          <w:vertAlign w:val="baseline"/>
          <w:lang w:val="es-PA"/>
        </w:rPr>
        <w:t>”</w:t>
      </w:r>
      <w:r>
        <w:rPr>
          <w:rFonts w:hint="default" w:cs="Times New Roman"/>
          <w:i w:val="0"/>
          <w:iCs w:val="0"/>
          <w:color w:val="auto"/>
          <w:sz w:val="24"/>
          <w:szCs w:val="24"/>
          <w:vertAlign w:val="baseline"/>
          <w:lang w:val="es-PA"/>
        </w:rPr>
        <w:t xml:space="preserve">. </w:t>
      </w:r>
      <w:r>
        <w:rPr>
          <w:rFonts w:hint="default" w:ascii="Times New Roman" w:hAnsi="Times New Roman" w:cs="Times New Roman"/>
          <w:i w:val="0"/>
          <w:iCs w:val="0"/>
          <w:color w:val="auto"/>
          <w:sz w:val="24"/>
          <w:szCs w:val="24"/>
          <w:vertAlign w:val="baseline"/>
          <w:lang w:val="es-PA"/>
        </w:rPr>
        <w:t>En referencia a l</w:t>
      </w:r>
      <w:r>
        <w:rPr>
          <w:rFonts w:hint="default" w:cs="Times New Roman"/>
          <w:i w:val="0"/>
          <w:iCs w:val="0"/>
          <w:color w:val="auto"/>
          <w:sz w:val="24"/>
          <w:szCs w:val="24"/>
          <w:vertAlign w:val="baseline"/>
          <w:lang w:val="es-PA"/>
        </w:rPr>
        <w:t>as cifras</w:t>
      </w:r>
      <w:r>
        <w:rPr>
          <w:rFonts w:hint="default" w:ascii="Times New Roman" w:hAnsi="Times New Roman" w:cs="Times New Roman"/>
          <w:i w:val="0"/>
          <w:iCs w:val="0"/>
          <w:color w:val="auto"/>
          <w:sz w:val="24"/>
          <w:szCs w:val="24"/>
          <w:vertAlign w:val="baseline"/>
          <w:lang w:val="es-PA"/>
        </w:rPr>
        <w:t xml:space="preserve"> anterior</w:t>
      </w:r>
      <w:r>
        <w:rPr>
          <w:rFonts w:hint="default" w:cs="Times New Roman"/>
          <w:i w:val="0"/>
          <w:iCs w:val="0"/>
          <w:color w:val="auto"/>
          <w:sz w:val="24"/>
          <w:szCs w:val="24"/>
          <w:vertAlign w:val="baseline"/>
          <w:lang w:val="es-PA"/>
        </w:rPr>
        <w:t>es</w:t>
      </w:r>
      <w:r>
        <w:rPr>
          <w:rFonts w:hint="default" w:ascii="Times New Roman" w:hAnsi="Times New Roman" w:cs="Times New Roman"/>
          <w:i w:val="0"/>
          <w:iCs w:val="0"/>
          <w:color w:val="auto"/>
          <w:sz w:val="24"/>
          <w:szCs w:val="24"/>
          <w:vertAlign w:val="baseline"/>
          <w:lang w:val="es-PA"/>
        </w:rPr>
        <w:t xml:space="preserve">, </w:t>
      </w:r>
      <w:r>
        <w:rPr>
          <w:rFonts w:hint="default" w:cs="Times New Roman"/>
          <w:i w:val="0"/>
          <w:iCs w:val="0"/>
          <w:color w:val="auto"/>
          <w:sz w:val="24"/>
          <w:szCs w:val="24"/>
          <w:vertAlign w:val="baseline"/>
          <w:lang w:val="es-PA"/>
        </w:rPr>
        <w:t xml:space="preserve">las cuales no coinciden, </w:t>
      </w:r>
      <w:r>
        <w:rPr>
          <w:rFonts w:hint="default" w:ascii="Times New Roman" w:hAnsi="Times New Roman" w:cs="Times New Roman"/>
          <w:i w:val="0"/>
          <w:iCs w:val="0"/>
          <w:color w:val="auto"/>
          <w:sz w:val="24"/>
          <w:szCs w:val="24"/>
          <w:vertAlign w:val="baseline"/>
          <w:lang w:val="es-PA"/>
        </w:rPr>
        <w:t xml:space="preserve">se solicita lo siguiente: </w:t>
      </w:r>
    </w:p>
    <w:p>
      <w:pPr>
        <w:numPr>
          <w:ilvl w:val="0"/>
          <w:numId w:val="2"/>
        </w:numPr>
        <w:spacing w:before="180" w:line="240" w:lineRule="auto"/>
        <w:ind w:left="168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cs="Times New Roman"/>
          <w:i w:val="0"/>
          <w:iCs w:val="0"/>
          <w:color w:val="auto"/>
          <w:sz w:val="24"/>
          <w:szCs w:val="24"/>
          <w:lang w:val="es-PA"/>
        </w:rPr>
        <w:t xml:space="preserve">    </w:t>
      </w:r>
      <w:r>
        <w:rPr>
          <w:rFonts w:hint="default" w:ascii="Times New Roman" w:hAnsi="Times New Roman" w:cs="Times New Roman"/>
          <w:i w:val="0"/>
          <w:iCs w:val="0"/>
          <w:color w:val="auto"/>
          <w:sz w:val="24"/>
          <w:szCs w:val="24"/>
          <w:lang w:val="es-PA"/>
        </w:rPr>
        <w:t>El</w:t>
      </w:r>
      <w:r>
        <w:rPr>
          <w:rFonts w:hint="default" w:cs="Times New Roman"/>
          <w:i w:val="0"/>
          <w:iCs w:val="0"/>
          <w:color w:val="auto"/>
          <w:sz w:val="24"/>
          <w:szCs w:val="24"/>
          <w:lang w:val="es-PA"/>
        </w:rPr>
        <w:t xml:space="preserve"> área del</w:t>
      </w:r>
      <w:r>
        <w:rPr>
          <w:rFonts w:hint="default" w:ascii="Times New Roman" w:hAnsi="Times New Roman" w:cs="Times New Roman"/>
          <w:i w:val="0"/>
          <w:iCs w:val="0"/>
          <w:color w:val="auto"/>
          <w:sz w:val="24"/>
          <w:szCs w:val="24"/>
          <w:lang w:val="es-PA"/>
        </w:rPr>
        <w:t xml:space="preserve"> polígono total del proyecto. Incluir coordenadas del polígono del proyecto Datum WGS84. </w:t>
      </w:r>
    </w:p>
    <w:p>
      <w:pPr>
        <w:numPr>
          <w:ilvl w:val="0"/>
          <w:numId w:val="2"/>
        </w:numPr>
        <w:spacing w:before="180" w:line="240" w:lineRule="auto"/>
        <w:ind w:left="168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ascii="Times New Roman" w:hAnsi="Times New Roman" w:cs="Times New Roman"/>
          <w:i w:val="0"/>
          <w:iCs w:val="0"/>
          <w:color w:val="auto"/>
          <w:sz w:val="24"/>
          <w:szCs w:val="24"/>
          <w:lang w:val="es-PA"/>
        </w:rPr>
        <w:t xml:space="preserve">El área total de construcción del proyecto, incluyendo el desglose de áreas abiertas y cerradas. Incluir plano del proyecto. </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cs="Times New Roman"/>
          <w:i w:val="0"/>
          <w:iCs w:val="0"/>
          <w:color w:val="auto"/>
          <w:sz w:val="24"/>
          <w:szCs w:val="24"/>
          <w:lang w:val="es-PA"/>
        </w:rPr>
        <w:t xml:space="preserve"> </w:t>
      </w:r>
      <w:r>
        <w:rPr>
          <w:rFonts w:hint="default" w:cs="Times New Roman"/>
          <w:i w:val="0"/>
          <w:iCs w:val="0"/>
          <w:color w:val="auto"/>
          <w:sz w:val="24"/>
          <w:szCs w:val="24"/>
          <w:lang w:val="es-PA"/>
        </w:rPr>
        <w:tab/>
      </w:r>
      <w:r>
        <w:rPr>
          <w:rFonts w:hint="default" w:ascii="Times New Roman" w:hAnsi="Times New Roman" w:cs="Times New Roman"/>
          <w:i w:val="0"/>
          <w:iCs w:val="0"/>
          <w:color w:val="auto"/>
          <w:sz w:val="24"/>
          <w:szCs w:val="24"/>
          <w:lang w:val="es-PA"/>
        </w:rPr>
        <w:t>En la</w:t>
      </w:r>
      <w:r>
        <w:rPr>
          <w:rFonts w:hint="default" w:ascii="Times New Roman" w:hAnsi="Times New Roman" w:cs="Times New Roman"/>
          <w:b/>
          <w:bCs/>
          <w:i w:val="0"/>
          <w:iCs w:val="0"/>
          <w:color w:val="auto"/>
          <w:sz w:val="24"/>
          <w:szCs w:val="24"/>
          <w:lang w:val="es-PA"/>
        </w:rPr>
        <w:t xml:space="preserve"> Sección 3.1</w:t>
      </w:r>
      <w:r>
        <w:rPr>
          <w:rFonts w:hint="default" w:ascii="Times New Roman" w:hAnsi="Times New Roman" w:cs="Times New Roman"/>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Alcance, objetivos y metodología</w:t>
      </w:r>
      <w:r>
        <w:rPr>
          <w:rFonts w:hint="default" w:ascii="Times New Roman" w:hAnsi="Times New Roman" w:cs="Times New Roman"/>
          <w:i w:val="0"/>
          <w:iCs w:val="0"/>
          <w:color w:val="auto"/>
          <w:sz w:val="24"/>
          <w:szCs w:val="24"/>
          <w:lang w:val="es-PA"/>
        </w:rPr>
        <w:t xml:space="preserve"> (página 8)</w:t>
      </w:r>
      <w:r>
        <w:rPr>
          <w:rFonts w:hint="default" w:cs="Times New Roman"/>
          <w:i w:val="0"/>
          <w:iCs w:val="0"/>
          <w:color w:val="auto"/>
          <w:sz w:val="24"/>
          <w:szCs w:val="24"/>
          <w:lang w:val="es-PA"/>
        </w:rPr>
        <w:t xml:space="preserve"> </w:t>
      </w:r>
      <w:r>
        <w:rPr>
          <w:rFonts w:hint="default" w:ascii="Times New Roman" w:hAnsi="Times New Roman" w:cs="Times New Roman"/>
          <w:i w:val="0"/>
          <w:iCs w:val="0"/>
          <w:color w:val="auto"/>
          <w:sz w:val="24"/>
          <w:szCs w:val="24"/>
          <w:lang w:val="es-PA"/>
        </w:rPr>
        <w:t>del</w:t>
      </w:r>
      <w:r>
        <w:rPr>
          <w:rFonts w:hint="default" w:cs="Times New Roman"/>
          <w:i w:val="0"/>
          <w:iCs w:val="0"/>
          <w:color w:val="auto"/>
          <w:sz w:val="24"/>
          <w:szCs w:val="24"/>
          <w:lang w:val="es-PA"/>
        </w:rPr>
        <w:t xml:space="preserve"> EsIA</w:t>
      </w:r>
      <w:r>
        <w:rPr>
          <w:rFonts w:hint="default" w:ascii="Times New Roman" w:hAnsi="Times New Roman" w:cs="Times New Roman"/>
          <w:i w:val="0"/>
          <w:iCs w:val="0"/>
          <w:color w:val="auto"/>
          <w:sz w:val="24"/>
          <w:szCs w:val="24"/>
          <w:lang w:val="es-PA"/>
        </w:rPr>
        <w:t xml:space="preserve">, se indica que </w:t>
      </w:r>
      <w:r>
        <w:rPr>
          <w:rFonts w:hint="default" w:ascii="Times New Roman" w:hAnsi="Times New Roman" w:cs="Times New Roman"/>
          <w:i/>
          <w:iCs/>
          <w:color w:val="auto"/>
          <w:sz w:val="24"/>
          <w:szCs w:val="24"/>
          <w:lang w:val="es-PA"/>
        </w:rPr>
        <w:t>“se requiere EsIA, ya que el proyecto tiene relación con el sector industria de la construcción (galera)”</w:t>
      </w:r>
      <w:r>
        <w:rPr>
          <w:rFonts w:hint="default" w:ascii="Times New Roman" w:hAnsi="Times New Roman" w:cs="Times New Roman"/>
          <w:i w:val="0"/>
          <w:iCs w:val="0"/>
          <w:color w:val="auto"/>
          <w:sz w:val="24"/>
          <w:szCs w:val="24"/>
          <w:lang w:val="es-PA"/>
        </w:rPr>
        <w:t xml:space="preserve">, sin embargo, el mismo se trata de un proyecto residencial. Aclarar. </w:t>
      </w:r>
    </w:p>
    <w:p>
      <w:pPr>
        <w:numPr>
          <w:ilvl w:val="0"/>
          <w:numId w:val="1"/>
        </w:numPr>
        <w:spacing w:before="180" w:line="240" w:lineRule="auto"/>
        <w:ind w:left="845" w:leftChars="0" w:right="72" w:rightChars="0" w:hanging="425" w:firstLineChars="0"/>
        <w:jc w:val="both"/>
        <w:rPr>
          <w:rFonts w:hint="default" w:ascii="Times New Roman" w:hAnsi="Times New Roman" w:eastAsia="Times New Roman" w:cs="Times New Roman"/>
          <w:i w:val="0"/>
          <w:iCs w:val="0"/>
          <w:color w:val="auto"/>
          <w:sz w:val="24"/>
          <w:szCs w:val="24"/>
        </w:rPr>
      </w:pPr>
      <w:r>
        <w:rPr>
          <w:rFonts w:hint="default" w:cs="Times New Roman"/>
          <w:i w:val="0"/>
          <w:iCs w:val="0"/>
          <w:color w:val="auto"/>
          <w:sz w:val="24"/>
          <w:szCs w:val="24"/>
          <w:lang w:val="es-PA"/>
        </w:rPr>
        <w:t xml:space="preserve">  </w:t>
      </w:r>
      <w:r>
        <w:rPr>
          <w:rFonts w:hint="default" w:ascii="Times New Roman" w:hAnsi="Times New Roman" w:cs="Times New Roman"/>
          <w:i w:val="0"/>
          <w:iCs w:val="0"/>
          <w:color w:val="auto"/>
          <w:sz w:val="24"/>
          <w:szCs w:val="24"/>
          <w:lang w:val="es-PA"/>
        </w:rPr>
        <w:t xml:space="preserve">En la </w:t>
      </w:r>
      <w:r>
        <w:rPr>
          <w:rFonts w:hint="default" w:ascii="Times New Roman" w:hAnsi="Times New Roman" w:cs="Times New Roman"/>
          <w:b/>
          <w:bCs/>
          <w:i w:val="0"/>
          <w:iCs w:val="0"/>
          <w:color w:val="auto"/>
          <w:sz w:val="24"/>
          <w:szCs w:val="24"/>
          <w:lang w:val="es-PA"/>
        </w:rPr>
        <w:t>Sección</w:t>
      </w:r>
      <w:r>
        <w:rPr>
          <w:rFonts w:hint="default" w:cs="Times New Roman"/>
          <w:b/>
          <w:bCs/>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7.1.1</w:t>
      </w:r>
      <w:r>
        <w:rPr>
          <w:rFonts w:hint="default" w:ascii="Times New Roman" w:hAnsi="Times New Roman" w:cs="Times New Roman"/>
          <w:b w:val="0"/>
          <w:bCs w:val="0"/>
          <w:i w:val="0"/>
          <w:iCs w:val="0"/>
          <w:color w:val="auto"/>
          <w:sz w:val="24"/>
          <w:szCs w:val="24"/>
          <w:lang w:val="es-PA"/>
        </w:rPr>
        <w:t>,</w:t>
      </w:r>
      <w:r>
        <w:rPr>
          <w:rFonts w:hint="default" w:ascii="Times New Roman" w:hAnsi="Times New Roman" w:cs="Times New Roman"/>
          <w:b/>
          <w:bCs/>
          <w:i w:val="0"/>
          <w:iCs w:val="0"/>
          <w:color w:val="auto"/>
          <w:sz w:val="24"/>
          <w:szCs w:val="24"/>
          <w:lang w:val="es-PA"/>
        </w:rPr>
        <w:t xml:space="preserve"> Caracterización vegetal e Inventario Forestal </w:t>
      </w:r>
      <w:r>
        <w:rPr>
          <w:rFonts w:hint="default" w:ascii="Times New Roman" w:hAnsi="Times New Roman" w:cs="Times New Roman"/>
          <w:i w:val="0"/>
          <w:iCs w:val="0"/>
          <w:color w:val="auto"/>
          <w:sz w:val="24"/>
          <w:szCs w:val="24"/>
          <w:lang w:val="es-PA"/>
        </w:rPr>
        <w:t xml:space="preserve">(página 28), se indica que </w:t>
      </w:r>
      <w:r>
        <w:rPr>
          <w:rFonts w:hint="default" w:ascii="Times New Roman" w:hAnsi="Times New Roman" w:cs="Times New Roman"/>
          <w:i/>
          <w:iCs/>
          <w:color w:val="auto"/>
          <w:sz w:val="24"/>
          <w:szCs w:val="24"/>
          <w:lang w:val="es-PA"/>
        </w:rPr>
        <w:t>“A lo interno del área que lo constituye un globo de terreno, donde se han constituidos legalmente quince (15) inmuebles”.</w:t>
      </w:r>
      <w:r>
        <w:rPr>
          <w:rFonts w:hint="default" w:ascii="Times New Roman" w:hAnsi="Times New Roman" w:cs="Times New Roman"/>
          <w:i w:val="0"/>
          <w:iCs w:val="0"/>
          <w:color w:val="auto"/>
          <w:sz w:val="24"/>
          <w:szCs w:val="24"/>
          <w:lang w:val="es-PA"/>
        </w:rPr>
        <w:t xml:space="preserve"> Aclarar a qué globo de terreno y número de inmuebles hace referencia el EsIA, ya que el proyecto sólo hace referencia a 9 fincas. </w:t>
      </w:r>
    </w:p>
    <w:p>
      <w:pPr>
        <w:numPr>
          <w:ilvl w:val="0"/>
          <w:numId w:val="1"/>
        </w:numPr>
        <w:spacing w:before="180" w:line="240" w:lineRule="auto"/>
        <w:ind w:left="845" w:leftChars="0" w:right="72" w:rightChars="0" w:hanging="425" w:firstLineChars="0"/>
        <w:jc w:val="both"/>
        <w:rPr>
          <w:rFonts w:hint="default" w:ascii="Times New Roman" w:hAnsi="Times New Roman" w:eastAsia="Times New Roman" w:cs="Times New Roman"/>
          <w:i w:val="0"/>
          <w:iCs w:val="0"/>
          <w:color w:val="auto"/>
          <w:sz w:val="24"/>
          <w:szCs w:val="24"/>
        </w:rPr>
      </w:pPr>
      <w:r>
        <w:rPr>
          <w:rFonts w:hint="default" w:eastAsia="Times New Roman" w:cs="Times New Roman"/>
          <w:i w:val="0"/>
          <w:iCs w:val="0"/>
          <w:color w:val="auto"/>
          <w:sz w:val="24"/>
          <w:szCs w:val="24"/>
          <w:lang w:val="es-PA"/>
        </w:rPr>
        <w:t xml:space="preserve">  </w:t>
      </w:r>
      <w:r>
        <w:rPr>
          <w:rFonts w:hint="default" w:ascii="Times New Roman" w:hAnsi="Times New Roman" w:eastAsia="Times New Roman" w:cs="Times New Roman"/>
          <w:i w:val="0"/>
          <w:iCs w:val="0"/>
          <w:color w:val="auto"/>
          <w:sz w:val="24"/>
          <w:szCs w:val="24"/>
          <w:lang w:val="es-PA"/>
        </w:rPr>
        <w:t xml:space="preserve">En la Sección </w:t>
      </w:r>
      <w:r>
        <w:rPr>
          <w:rFonts w:hint="default" w:ascii="Times New Roman" w:hAnsi="Times New Roman" w:eastAsia="Times New Roman" w:cs="Times New Roman"/>
          <w:b/>
          <w:bCs/>
          <w:i w:val="0"/>
          <w:iCs w:val="0"/>
          <w:color w:val="auto"/>
          <w:sz w:val="24"/>
          <w:szCs w:val="24"/>
          <w:lang w:val="es-PA"/>
        </w:rPr>
        <w:t>Anexos</w:t>
      </w:r>
      <w:r>
        <w:rPr>
          <w:rFonts w:hint="default" w:ascii="Times New Roman" w:hAnsi="Times New Roman" w:eastAsia="Times New Roman" w:cs="Times New Roman"/>
          <w:i w:val="0"/>
          <w:iCs w:val="0"/>
          <w:color w:val="auto"/>
          <w:sz w:val="24"/>
          <w:szCs w:val="24"/>
          <w:lang w:val="es-PA"/>
        </w:rPr>
        <w:t xml:space="preserve">, Nota GZA-AP-040-2019, del 9 de mayo de 2019, emitida por la empresa Naturgy, se hace referencia a diez (10) fincas, se incluye además de las Fincas con Folio Real </w:t>
      </w:r>
      <w:r>
        <w:rPr>
          <w:rFonts w:hint="default" w:ascii="Times New Roman" w:hAnsi="Times New Roman" w:eastAsia="Times New Roman" w:cs="Times New Roman"/>
          <w:i w:val="0"/>
          <w:iCs w:val="0"/>
          <w:color w:val="auto"/>
          <w:sz w:val="24"/>
          <w:szCs w:val="24"/>
          <w:lang w:val="zh-CN"/>
        </w:rPr>
        <w:t>No.30214073,</w:t>
      </w:r>
      <w:r>
        <w:rPr>
          <w:rFonts w:hint="default" w:eastAsia="Times New Roman" w:cs="Times New Roman"/>
          <w:i w:val="0"/>
          <w:iCs w:val="0"/>
          <w:color w:val="auto"/>
          <w:sz w:val="24"/>
          <w:szCs w:val="24"/>
          <w:lang w:val="es-PA"/>
        </w:rPr>
        <w:t xml:space="preserve"> </w:t>
      </w:r>
      <w:r>
        <w:rPr>
          <w:rFonts w:hint="default" w:ascii="Times New Roman" w:hAnsi="Times New Roman" w:eastAsia="Times New Roman" w:cs="Times New Roman"/>
          <w:i w:val="0"/>
          <w:iCs w:val="0"/>
          <w:color w:val="auto"/>
          <w:sz w:val="24"/>
          <w:szCs w:val="24"/>
          <w:lang w:val="zh-CN"/>
        </w:rPr>
        <w:t>No.30207663, No.30207672, No.30211307, No.30300645, No.30300585, No.30211389, No.30300802 y</w:t>
      </w:r>
      <w:r>
        <w:rPr>
          <w:rFonts w:hint="default" w:ascii="Times New Roman" w:hAnsi="Times New Roman" w:eastAsia="Times New Roman" w:cs="Times New Roman"/>
          <w:i w:val="0"/>
          <w:iCs w:val="0"/>
          <w:color w:val="auto"/>
          <w:sz w:val="24"/>
          <w:szCs w:val="24"/>
          <w:lang w:val="es-PA"/>
        </w:rPr>
        <w:t xml:space="preserve"> </w:t>
      </w:r>
      <w:r>
        <w:rPr>
          <w:rFonts w:hint="default" w:ascii="Times New Roman" w:hAnsi="Times New Roman" w:eastAsia="Times New Roman" w:cs="Times New Roman"/>
          <w:i w:val="0"/>
          <w:iCs w:val="0"/>
          <w:color w:val="auto"/>
          <w:sz w:val="24"/>
          <w:szCs w:val="24"/>
          <w:lang w:val="zh-CN"/>
        </w:rPr>
        <w:t>No.30301033</w:t>
      </w:r>
      <w:r>
        <w:rPr>
          <w:rFonts w:hint="default" w:ascii="Times New Roman" w:hAnsi="Times New Roman" w:eastAsia="Times New Roman" w:cs="Times New Roman"/>
          <w:i w:val="0"/>
          <w:iCs w:val="0"/>
          <w:color w:val="auto"/>
          <w:sz w:val="24"/>
          <w:szCs w:val="24"/>
          <w:lang w:val="es-PA"/>
        </w:rPr>
        <w:t xml:space="preserve">, la finca con Folio Real </w:t>
      </w:r>
      <w:r>
        <w:rPr>
          <w:rFonts w:hint="default" w:ascii="Times New Roman" w:hAnsi="Times New Roman" w:eastAsia="Times New Roman" w:cs="Times New Roman"/>
          <w:b/>
          <w:bCs/>
          <w:i w:val="0"/>
          <w:iCs w:val="0"/>
          <w:color w:val="auto"/>
          <w:sz w:val="24"/>
          <w:szCs w:val="24"/>
          <w:u w:val="single"/>
          <w:lang w:val="es-PA"/>
        </w:rPr>
        <w:t>30208565</w:t>
      </w:r>
      <w:r>
        <w:rPr>
          <w:rFonts w:hint="default" w:ascii="Times New Roman" w:hAnsi="Times New Roman" w:eastAsia="Times New Roman" w:cs="Times New Roman"/>
          <w:b w:val="0"/>
          <w:bCs w:val="0"/>
          <w:i w:val="0"/>
          <w:iCs w:val="0"/>
          <w:color w:val="auto"/>
          <w:sz w:val="24"/>
          <w:szCs w:val="24"/>
          <w:u w:val="none"/>
          <w:lang w:val="es-PA"/>
        </w:rPr>
        <w:t>, la cual no aparece incluida dentro del alcance del Estudio de Impacto Ambiental. Aclarar.</w:t>
      </w:r>
    </w:p>
    <w:p>
      <w:pPr>
        <w:numPr>
          <w:ilvl w:val="0"/>
          <w:numId w:val="1"/>
        </w:numPr>
        <w:spacing w:before="180" w:line="240" w:lineRule="auto"/>
        <w:ind w:left="845" w:leftChars="0" w:right="72" w:rightChars="0" w:hanging="425" w:firstLineChars="0"/>
        <w:jc w:val="both"/>
        <w:rPr>
          <w:rFonts w:hint="default" w:ascii="Times New Roman" w:hAnsi="Times New Roman" w:eastAsia="Times New Roman" w:cs="Times New Roman"/>
          <w:i w:val="0"/>
          <w:iCs w:val="0"/>
          <w:color w:val="auto"/>
          <w:sz w:val="24"/>
          <w:szCs w:val="24"/>
        </w:rPr>
      </w:pPr>
      <w:r>
        <w:rPr>
          <w:rFonts w:hint="default" w:eastAsia="Times New Roman" w:cs="Times New Roman"/>
          <w:b w:val="0"/>
          <w:bCs w:val="0"/>
          <w:i w:val="0"/>
          <w:iCs w:val="0"/>
          <w:color w:val="auto"/>
          <w:sz w:val="24"/>
          <w:szCs w:val="24"/>
          <w:u w:val="none"/>
          <w:lang w:val="es-PA"/>
        </w:rPr>
        <w:t xml:space="preserve">  </w:t>
      </w:r>
      <w:r>
        <w:rPr>
          <w:rFonts w:hint="default" w:ascii="Times New Roman" w:hAnsi="Times New Roman" w:eastAsia="Times New Roman" w:cs="Times New Roman"/>
          <w:b w:val="0"/>
          <w:bCs w:val="0"/>
          <w:i w:val="0"/>
          <w:iCs w:val="0"/>
          <w:color w:val="auto"/>
          <w:sz w:val="24"/>
          <w:szCs w:val="24"/>
          <w:u w:val="none"/>
          <w:lang w:val="es-PA"/>
        </w:rPr>
        <w:t xml:space="preserve">En la nota con fecha 24 de abril de 2019, emitida por el Instituto de Acueductos y Alcantarillados Nacionales (IDAAN), indica que se construirán diez (10) viviendas. Aclarar. </w:t>
      </w:r>
    </w:p>
    <w:p>
      <w:pPr>
        <w:numPr>
          <w:ilvl w:val="0"/>
          <w:numId w:val="1"/>
        </w:numPr>
        <w:spacing w:before="180" w:line="240" w:lineRule="auto"/>
        <w:ind w:left="845" w:leftChars="0" w:right="72" w:rightChars="0" w:hanging="425" w:firstLineChars="0"/>
        <w:jc w:val="both"/>
        <w:rPr>
          <w:rFonts w:hint="default" w:ascii="Times New Roman" w:hAnsi="Times New Roman" w:eastAsia="Times New Roman" w:cs="Times New Roman"/>
          <w:i w:val="0"/>
          <w:iCs w:val="0"/>
          <w:color w:val="auto"/>
          <w:sz w:val="24"/>
          <w:szCs w:val="24"/>
        </w:rPr>
      </w:pPr>
      <w:r>
        <w:rPr>
          <w:rFonts w:hint="default" w:eastAsia="Times New Roman" w:cs="Times New Roman"/>
          <w:i w:val="0"/>
          <w:iCs w:val="0"/>
          <w:color w:val="auto"/>
          <w:sz w:val="24"/>
          <w:szCs w:val="24"/>
          <w:lang w:val="es-PA"/>
        </w:rPr>
        <w:t xml:space="preserve">  </w:t>
      </w:r>
      <w:r>
        <w:rPr>
          <w:rFonts w:hint="default" w:ascii="Times New Roman" w:hAnsi="Times New Roman" w:eastAsia="Times New Roman" w:cs="Times New Roman"/>
          <w:i w:val="0"/>
          <w:iCs w:val="0"/>
          <w:color w:val="auto"/>
          <w:sz w:val="24"/>
          <w:szCs w:val="24"/>
          <w:lang w:val="es-PA"/>
        </w:rPr>
        <w:t xml:space="preserve">En </w:t>
      </w:r>
      <w:r>
        <w:rPr>
          <w:rFonts w:hint="default" w:eastAsia="Times New Roman" w:cs="Times New Roman"/>
          <w:i w:val="0"/>
          <w:iCs w:val="0"/>
          <w:color w:val="auto"/>
          <w:sz w:val="24"/>
          <w:szCs w:val="24"/>
          <w:lang w:val="es-PA"/>
        </w:rPr>
        <w:t xml:space="preserve">la </w:t>
      </w:r>
      <w:r>
        <w:rPr>
          <w:rFonts w:hint="default" w:eastAsia="Times New Roman" w:cs="Times New Roman"/>
          <w:b/>
          <w:bCs/>
          <w:i w:val="0"/>
          <w:iCs w:val="0"/>
          <w:color w:val="auto"/>
          <w:sz w:val="24"/>
          <w:szCs w:val="24"/>
          <w:lang w:val="es-PA"/>
        </w:rPr>
        <w:t>Sección</w:t>
      </w:r>
      <w:r>
        <w:rPr>
          <w:rFonts w:hint="default" w:eastAsia="Times New Roman" w:cs="Times New Roman"/>
          <w:i w:val="0"/>
          <w:iCs w:val="0"/>
          <w:color w:val="auto"/>
          <w:sz w:val="24"/>
          <w:szCs w:val="24"/>
          <w:lang w:val="es-PA"/>
        </w:rPr>
        <w:t xml:space="preserve"> </w:t>
      </w:r>
      <w:r>
        <w:rPr>
          <w:rFonts w:hint="default" w:eastAsia="Times New Roman" w:cs="Times New Roman"/>
          <w:b/>
          <w:bCs/>
          <w:i w:val="0"/>
          <w:iCs w:val="0"/>
          <w:color w:val="auto"/>
          <w:sz w:val="24"/>
          <w:szCs w:val="24"/>
          <w:lang w:val="es-PA"/>
        </w:rPr>
        <w:t>Anexos</w:t>
      </w:r>
      <w:r>
        <w:rPr>
          <w:rFonts w:hint="default" w:eastAsia="Times New Roman" w:cs="Times New Roman"/>
          <w:i w:val="0"/>
          <w:iCs w:val="0"/>
          <w:color w:val="auto"/>
          <w:sz w:val="24"/>
          <w:szCs w:val="24"/>
          <w:lang w:val="es-PA"/>
        </w:rPr>
        <w:t xml:space="preserve"> (página 70) </w:t>
      </w:r>
      <w:r>
        <w:rPr>
          <w:rFonts w:hint="default" w:ascii="Times New Roman" w:hAnsi="Times New Roman" w:eastAsia="Times New Roman" w:cs="Times New Roman"/>
          <w:i w:val="0"/>
          <w:iCs w:val="0"/>
          <w:color w:val="auto"/>
          <w:sz w:val="24"/>
          <w:szCs w:val="24"/>
          <w:lang w:val="es-PA"/>
        </w:rPr>
        <w:t>el polígono presentado indica que el área de los Folios involucrados es de 4062.80 m</w:t>
      </w:r>
      <w:r>
        <w:rPr>
          <w:rFonts w:hint="default" w:ascii="Times New Roman" w:hAnsi="Times New Roman" w:eastAsia="Times New Roman" w:cs="Times New Roman"/>
          <w:i w:val="0"/>
          <w:iCs w:val="0"/>
          <w:color w:val="auto"/>
          <w:sz w:val="24"/>
          <w:szCs w:val="24"/>
          <w:vertAlign w:val="superscript"/>
          <w:lang w:val="es-PA"/>
        </w:rPr>
        <w:t>2</w:t>
      </w:r>
      <w:r>
        <w:rPr>
          <w:rFonts w:hint="default" w:ascii="Times New Roman" w:hAnsi="Times New Roman" w:eastAsia="Times New Roman" w:cs="Times New Roman"/>
          <w:i w:val="0"/>
          <w:iCs w:val="0"/>
          <w:color w:val="auto"/>
          <w:sz w:val="24"/>
          <w:szCs w:val="24"/>
          <w:vertAlign w:val="baseline"/>
          <w:lang w:val="es-PA"/>
        </w:rPr>
        <w:t xml:space="preserve">, sin embargo, en el Resumen Ejecutivo (página 5) se indica que la sumatoria de los nueve lotes es de </w:t>
      </w:r>
      <w:r>
        <w:rPr>
          <w:rFonts w:hint="default" w:ascii="Times New Roman" w:hAnsi="Times New Roman" w:cs="Times New Roman"/>
          <w:b w:val="0"/>
          <w:bCs w:val="0"/>
          <w:i w:val="0"/>
          <w:iCs w:val="0"/>
          <w:color w:val="auto"/>
          <w:sz w:val="24"/>
          <w:szCs w:val="24"/>
          <w:lang w:val="es-PA"/>
        </w:rPr>
        <w:t>3612.8 m</w:t>
      </w:r>
      <w:r>
        <w:rPr>
          <w:rFonts w:hint="default" w:ascii="Times New Roman" w:hAnsi="Times New Roman" w:cs="Times New Roman"/>
          <w:b w:val="0"/>
          <w:bCs w:val="0"/>
          <w:i w:val="0"/>
          <w:iCs w:val="0"/>
          <w:color w:val="auto"/>
          <w:sz w:val="24"/>
          <w:szCs w:val="24"/>
          <w:vertAlign w:val="superscript"/>
          <w:lang w:val="es-PA"/>
        </w:rPr>
        <w:t>2</w:t>
      </w:r>
      <w:r>
        <w:rPr>
          <w:rFonts w:hint="default" w:ascii="Times New Roman" w:hAnsi="Times New Roman" w:cs="Times New Roman"/>
          <w:b w:val="0"/>
          <w:bCs w:val="0"/>
          <w:i w:val="0"/>
          <w:iCs w:val="0"/>
          <w:color w:val="auto"/>
          <w:sz w:val="24"/>
          <w:szCs w:val="24"/>
          <w:vertAlign w:val="baseline"/>
          <w:lang w:val="es-PA"/>
        </w:rPr>
        <w:t>.</w:t>
      </w:r>
      <w:r>
        <w:rPr>
          <w:rFonts w:hint="default" w:cs="Times New Roman"/>
          <w:b w:val="0"/>
          <w:bCs w:val="0"/>
          <w:i w:val="0"/>
          <w:iCs w:val="0"/>
          <w:color w:val="auto"/>
          <w:sz w:val="24"/>
          <w:szCs w:val="24"/>
          <w:vertAlign w:val="baseline"/>
          <w:lang w:val="es-PA"/>
        </w:rPr>
        <w:t xml:space="preserve"> Aclarar y corregir. </w:t>
      </w:r>
    </w:p>
    <w:p>
      <w:pPr>
        <w:numPr>
          <w:ilvl w:val="0"/>
          <w:numId w:val="1"/>
        </w:numPr>
        <w:spacing w:before="180" w:line="240" w:lineRule="auto"/>
        <w:ind w:left="845" w:leftChars="0" w:right="72" w:rightChars="0" w:hanging="425" w:firstLineChars="0"/>
        <w:jc w:val="both"/>
        <w:rPr>
          <w:rFonts w:hint="default" w:ascii="Times New Roman" w:hAnsi="Times New Roman" w:eastAsia="Times New Roman" w:cs="Times New Roman"/>
          <w:i w:val="0"/>
          <w:iCs w:val="0"/>
          <w:color w:val="auto"/>
          <w:sz w:val="24"/>
          <w:szCs w:val="24"/>
        </w:rPr>
      </w:pPr>
      <w:r>
        <w:rPr>
          <w:rFonts w:hint="default" w:cs="Times New Roman"/>
          <w:b w:val="0"/>
          <w:bCs w:val="0"/>
          <w:i w:val="0"/>
          <w:iCs w:val="0"/>
          <w:color w:val="auto"/>
          <w:sz w:val="24"/>
          <w:szCs w:val="24"/>
          <w:vertAlign w:val="baseline"/>
          <w:lang w:val="es-PA"/>
        </w:rPr>
        <w:t xml:space="preserve">  </w:t>
      </w:r>
      <w:r>
        <w:rPr>
          <w:rFonts w:hint="default" w:ascii="Times New Roman" w:hAnsi="Times New Roman" w:cs="Times New Roman"/>
          <w:b w:val="0"/>
          <w:bCs w:val="0"/>
          <w:i w:val="0"/>
          <w:iCs w:val="0"/>
          <w:color w:val="auto"/>
          <w:sz w:val="24"/>
          <w:szCs w:val="24"/>
          <w:vertAlign w:val="baseline"/>
          <w:lang w:val="es-PA"/>
        </w:rPr>
        <w:t>En la</w:t>
      </w:r>
      <w:r>
        <w:rPr>
          <w:rFonts w:hint="default" w:cs="Times New Roman"/>
          <w:b w:val="0"/>
          <w:bCs w:val="0"/>
          <w:i w:val="0"/>
          <w:iCs w:val="0"/>
          <w:color w:val="auto"/>
          <w:sz w:val="24"/>
          <w:szCs w:val="24"/>
          <w:vertAlign w:val="baseline"/>
          <w:lang w:val="es-PA"/>
        </w:rPr>
        <w:t xml:space="preserve"> </w:t>
      </w:r>
      <w:r>
        <w:rPr>
          <w:rFonts w:hint="default" w:cs="Times New Roman"/>
          <w:b/>
          <w:bCs/>
          <w:i w:val="0"/>
          <w:iCs w:val="0"/>
          <w:color w:val="auto"/>
          <w:sz w:val="24"/>
          <w:szCs w:val="24"/>
          <w:vertAlign w:val="baseline"/>
          <w:lang w:val="es-PA"/>
        </w:rPr>
        <w:t>Sección Anexos</w:t>
      </w:r>
      <w:r>
        <w:rPr>
          <w:rFonts w:hint="default" w:ascii="Times New Roman" w:hAnsi="Times New Roman" w:cs="Times New Roman"/>
          <w:b/>
          <w:bCs/>
          <w:i w:val="0"/>
          <w:iCs w:val="0"/>
          <w:color w:val="auto"/>
          <w:sz w:val="24"/>
          <w:szCs w:val="24"/>
          <w:vertAlign w:val="baseline"/>
          <w:lang w:val="es-PA"/>
        </w:rPr>
        <w:t xml:space="preserve"> </w:t>
      </w:r>
      <w:r>
        <w:rPr>
          <w:rFonts w:hint="default" w:cs="Times New Roman"/>
          <w:b w:val="0"/>
          <w:bCs w:val="0"/>
          <w:i w:val="0"/>
          <w:iCs w:val="0"/>
          <w:color w:val="auto"/>
          <w:sz w:val="24"/>
          <w:szCs w:val="24"/>
          <w:vertAlign w:val="baseline"/>
          <w:lang w:val="es-PA"/>
        </w:rPr>
        <w:t>(</w:t>
      </w:r>
      <w:r>
        <w:rPr>
          <w:rFonts w:hint="default" w:ascii="Times New Roman" w:hAnsi="Times New Roman" w:cs="Times New Roman"/>
          <w:b w:val="0"/>
          <w:bCs w:val="0"/>
          <w:i w:val="0"/>
          <w:iCs w:val="0"/>
          <w:color w:val="auto"/>
          <w:sz w:val="24"/>
          <w:szCs w:val="24"/>
          <w:vertAlign w:val="baseline"/>
          <w:lang w:val="es-PA"/>
        </w:rPr>
        <w:t>página 71</w:t>
      </w:r>
      <w:r>
        <w:rPr>
          <w:rFonts w:hint="default" w:cs="Times New Roman"/>
          <w:b w:val="0"/>
          <w:bCs w:val="0"/>
          <w:i w:val="0"/>
          <w:iCs w:val="0"/>
          <w:color w:val="auto"/>
          <w:sz w:val="24"/>
          <w:szCs w:val="24"/>
          <w:vertAlign w:val="baseline"/>
          <w:lang w:val="es-PA"/>
        </w:rPr>
        <w:t>)</w:t>
      </w:r>
      <w:r>
        <w:rPr>
          <w:rFonts w:hint="default" w:ascii="Times New Roman" w:hAnsi="Times New Roman" w:cs="Times New Roman"/>
          <w:b w:val="0"/>
          <w:bCs w:val="0"/>
          <w:i w:val="0"/>
          <w:iCs w:val="0"/>
          <w:color w:val="auto"/>
          <w:sz w:val="24"/>
          <w:szCs w:val="24"/>
          <w:vertAlign w:val="baseline"/>
          <w:lang w:val="es-PA"/>
        </w:rPr>
        <w:t xml:space="preserve"> se presenta un plano denominado “Galera para depósito”, ubicación corregimiento de Ocú, distrito de Ocú. Aclarar información presentada. El EsIA no incluye el plano del proyecto, con el desglose respectivo de las áreas de construcción.</w:t>
      </w:r>
      <w:bookmarkStart w:id="0" w:name="_GoBack"/>
      <w:bookmarkEnd w:id="0"/>
    </w:p>
    <w:p>
      <w:pPr>
        <w:numPr>
          <w:ilvl w:val="0"/>
          <w:numId w:val="0"/>
        </w:numPr>
        <w:spacing w:before="180" w:line="240" w:lineRule="auto"/>
        <w:ind w:right="72" w:rightChars="0"/>
        <w:jc w:val="both"/>
        <w:rPr>
          <w:rFonts w:hint="default" w:ascii="Times New Roman" w:hAnsi="Times New Roman" w:cs="Times New Roman"/>
          <w:sz w:val="24"/>
          <w:szCs w:val="24"/>
          <w:lang w:val="zh-CN"/>
        </w:rPr>
      </w:pPr>
    </w:p>
    <w:p>
      <w:pPr>
        <w:numPr>
          <w:ilvl w:val="0"/>
          <w:numId w:val="0"/>
        </w:numPr>
        <w:spacing w:before="180" w:line="240" w:lineRule="auto"/>
        <w:ind w:right="72" w:right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Ad</w:t>
      </w:r>
      <w:r>
        <w:rPr>
          <w:rFonts w:hint="default" w:cs="Times New Roman"/>
          <w:sz w:val="24"/>
          <w:szCs w:val="24"/>
          <w:lang w:val="es-PA"/>
        </w:rPr>
        <w:t>icional</w:t>
      </w:r>
      <w:r>
        <w:rPr>
          <w:rFonts w:hint="default" w:ascii="Times New Roman" w:hAnsi="Times New Roman" w:cs="Times New Roman"/>
          <w:sz w:val="24"/>
          <w:szCs w:val="24"/>
          <w:lang w:val="zh-CN"/>
        </w:rPr>
        <w:t>, queremos informarle que transcurridos quince (15) días del recibo de la nota, sin que haya cumplido con lo solicitado, se tomará la decisión correspondiente, según lo establecido en el artículo 9 del Decreto Ejecutivo Nº 155 de 05 de agosto de 2011.</w:t>
      </w:r>
    </w:p>
    <w:p>
      <w:pPr>
        <w:pStyle w:val="2"/>
        <w:spacing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Atentamente,</w:t>
      </w:r>
    </w:p>
    <w:p>
      <w:pPr>
        <w:pStyle w:val="2"/>
        <w:spacing w:line="240" w:lineRule="auto"/>
        <w:jc w:val="both"/>
        <w:rPr>
          <w:rFonts w:hint="default" w:ascii="Times New Roman" w:hAnsi="Times New Roman" w:cs="Times New Roman"/>
          <w:sz w:val="24"/>
          <w:szCs w:val="24"/>
          <w:lang w:val="zh-CN"/>
        </w:rPr>
      </w:pPr>
    </w:p>
    <w:p>
      <w:pPr>
        <w:pStyle w:val="2"/>
        <w:spacing w:before="6" w:line="240" w:lineRule="auto"/>
        <w:jc w:val="both"/>
        <w:rPr>
          <w:rFonts w:hint="default" w:ascii="Times New Roman" w:hAnsi="Times New Roman" w:cs="Times New Roman"/>
          <w:sz w:val="24"/>
          <w:szCs w:val="24"/>
          <w:lang w:val="zh-CN"/>
        </w:rPr>
      </w:pPr>
    </w:p>
    <w:p>
      <w:pPr>
        <w:pStyle w:val="2"/>
        <w:spacing w:before="6"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__________________________</w:t>
      </w: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ING. JUAN SAMANIEGO</w:t>
      </w: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zh-CN"/>
        </w:rPr>
        <w:t xml:space="preserve">Director Regional </w:t>
      </w:r>
      <w:r>
        <w:rPr>
          <w:rFonts w:hint="default" w:ascii="Times New Roman" w:hAnsi="Times New Roman" w:cs="Times New Roman"/>
          <w:sz w:val="24"/>
          <w:szCs w:val="24"/>
          <w:lang w:val="es-PA"/>
        </w:rPr>
        <w:t>Encargado</w:t>
      </w:r>
    </w:p>
    <w:p>
      <w:pPr>
        <w:pStyle w:val="2"/>
        <w:spacing w:line="240" w:lineRule="auto"/>
        <w:rPr>
          <w:rFonts w:hint="default" w:ascii="Times New Roman" w:hAnsi="Times New Roman" w:cs="Times New Roman"/>
          <w:sz w:val="24"/>
          <w:szCs w:val="24"/>
          <w:lang w:val="zh-CN"/>
        </w:rPr>
      </w:pPr>
    </w:p>
    <w:p>
      <w:pPr>
        <w:spacing w:before="216" w:line="240" w:lineRule="auto"/>
        <w:ind w:left="119"/>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JS</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s-PA"/>
        </w:rPr>
        <w:t>LP</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s-PA"/>
        </w:rPr>
        <w:t>yb</w:t>
      </w:r>
    </w:p>
    <w:p>
      <w:pPr>
        <w:pStyle w:val="2"/>
        <w:spacing w:line="240" w:lineRule="auto"/>
        <w:rPr>
          <w:rFonts w:hint="default" w:ascii="Times New Roman" w:hAnsi="Times New Roman" w:cs="Times New Roman"/>
          <w:sz w:val="24"/>
          <w:szCs w:val="24"/>
        </w:rPr>
      </w:pPr>
    </w:p>
    <w:p>
      <w:pPr>
        <w:pStyle w:val="2"/>
        <w:spacing w:before="9" w:line="240" w:lineRule="auto"/>
        <w:rPr>
          <w:rFonts w:hint="default" w:ascii="Times New Roman" w:hAnsi="Times New Roman" w:cs="Times New Roman"/>
          <w:sz w:val="24"/>
          <w:szCs w:val="24"/>
        </w:rPr>
      </w:pPr>
    </w:p>
    <w:p>
      <w:pPr>
        <w:spacing w:line="240" w:lineRule="auto"/>
        <w:ind w:right="115"/>
        <w:jc w:val="right"/>
        <w:rPr>
          <w:rFonts w:hint="default" w:ascii="Times New Roman" w:hAnsi="Times New Roman" w:cs="Times New Roman"/>
          <w:sz w:val="24"/>
          <w:szCs w:val="24"/>
        </w:rPr>
      </w:pPr>
    </w:p>
    <w:sectPr>
      <w:footerReference r:id="rId3" w:type="default"/>
      <w:type w:val="continuous"/>
      <w:pgSz w:w="12191" w:h="15819"/>
      <w:pgMar w:top="1000" w:right="1240" w:bottom="1071" w:left="1580" w:header="708" w:footer="708"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s-PA"/>
                            </w:rPr>
                          </w:pPr>
                          <w:r>
                            <w:rPr>
                              <w:lang w:val="es-PA"/>
                            </w:rPr>
                            <w:fldChar w:fldCharType="begin"/>
                          </w:r>
                          <w:r>
                            <w:rPr>
                              <w:lang w:val="es-PA"/>
                            </w:rPr>
                            <w:instrText xml:space="preserve"> PAGE  \* MERGEFORMAT </w:instrText>
                          </w:r>
                          <w:r>
                            <w:rPr>
                              <w:lang w:val="es-PA"/>
                            </w:rPr>
                            <w:fldChar w:fldCharType="separate"/>
                          </w:r>
                          <w:r>
                            <w:rPr>
                              <w:lang w:val="es-PA"/>
                            </w:rPr>
                            <w:t>1</w:t>
                          </w:r>
                          <w:r>
                            <w:rPr>
                              <w:lang w:val="es-P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es-PA"/>
                      </w:rPr>
                    </w:pPr>
                    <w:r>
                      <w:rPr>
                        <w:lang w:val="es-PA"/>
                      </w:rPr>
                      <w:fldChar w:fldCharType="begin"/>
                    </w:r>
                    <w:r>
                      <w:rPr>
                        <w:lang w:val="es-PA"/>
                      </w:rPr>
                      <w:instrText xml:space="preserve"> PAGE  \* MERGEFORMAT </w:instrText>
                    </w:r>
                    <w:r>
                      <w:rPr>
                        <w:lang w:val="es-PA"/>
                      </w:rPr>
                      <w:fldChar w:fldCharType="separate"/>
                    </w:r>
                    <w:r>
                      <w:rPr>
                        <w:lang w:val="es-PA"/>
                      </w:rPr>
                      <w:t>1</w:t>
                    </w:r>
                    <w:r>
                      <w:rPr>
                        <w:lang w:val="es-P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669E5"/>
    <w:multiLevelType w:val="multilevel"/>
    <w:tmpl w:val="AD6669E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D17C069D"/>
    <w:multiLevelType w:val="singleLevel"/>
    <w:tmpl w:val="D17C069D"/>
    <w:lvl w:ilvl="0" w:tentative="0">
      <w:start w:val="1"/>
      <w:numFmt w:val="lowerLetter"/>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90D24"/>
    <w:rsid w:val="01B50590"/>
    <w:rsid w:val="01FD4E8C"/>
    <w:rsid w:val="09B54E73"/>
    <w:rsid w:val="0B0B2922"/>
    <w:rsid w:val="0B77545D"/>
    <w:rsid w:val="0DBF099E"/>
    <w:rsid w:val="10EA1724"/>
    <w:rsid w:val="13B13624"/>
    <w:rsid w:val="1534601B"/>
    <w:rsid w:val="170552C7"/>
    <w:rsid w:val="207E1D30"/>
    <w:rsid w:val="23DF1E2C"/>
    <w:rsid w:val="25D64F86"/>
    <w:rsid w:val="261228F4"/>
    <w:rsid w:val="2A036793"/>
    <w:rsid w:val="362245CB"/>
    <w:rsid w:val="37F52557"/>
    <w:rsid w:val="3D19327A"/>
    <w:rsid w:val="42F14E10"/>
    <w:rsid w:val="461800D4"/>
    <w:rsid w:val="508F3B0E"/>
    <w:rsid w:val="51AF72FE"/>
    <w:rsid w:val="55666716"/>
    <w:rsid w:val="55995F9A"/>
    <w:rsid w:val="5624220A"/>
    <w:rsid w:val="5C487BC6"/>
    <w:rsid w:val="5C7D4376"/>
    <w:rsid w:val="5E9A6433"/>
    <w:rsid w:val="64162A79"/>
    <w:rsid w:val="64967281"/>
    <w:rsid w:val="67F47BA2"/>
    <w:rsid w:val="6DC51762"/>
    <w:rsid w:val="6E3A04BF"/>
    <w:rsid w:val="6F135588"/>
    <w:rsid w:val="747F4BD6"/>
    <w:rsid w:val="76E51351"/>
    <w:rsid w:val="76E70FBD"/>
    <w:rsid w:val="7985514E"/>
    <w:rsid w:val="79EB0D98"/>
    <w:rsid w:val="7A2B2035"/>
    <w:rsid w:val="7BF01084"/>
    <w:rsid w:val="7CCC6CA3"/>
    <w:rsid w:val="7D6A6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rPr>
  </w:style>
  <w:style w:type="character" w:default="1" w:styleId="6">
    <w:name w:val="Default Paragraph Font"/>
    <w:qFormat/>
    <w:uiPriority w:val="0"/>
  </w:style>
  <w:style w:type="table" w:default="1" w:styleId="9">
    <w:name w:val="Normal Table"/>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Hyperlink"/>
    <w:qFormat/>
    <w:uiPriority w:val="0"/>
    <w:rPr>
      <w:color w:val="0000FF"/>
      <w:u w:val="single"/>
    </w:rPr>
  </w:style>
  <w:style w:type="character" w:styleId="8">
    <w:name w:val="line number"/>
    <w:qFormat/>
    <w:uiPriority w:val="0"/>
  </w:style>
  <w:style w:type="table" w:styleId="10">
    <w:name w:val="Table Simple 1"/>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11">
    <w:name w:val="List Paragraph"/>
    <w:basedOn w:val="1"/>
    <w:qFormat/>
    <w:uiPriority w:val="0"/>
  </w:style>
  <w:style w:type="paragraph" w:customStyle="1" w:styleId="12">
    <w:name w:val="Table Paragraph"/>
    <w:basedOn w:val="1"/>
    <w:qFormat/>
    <w:uiPriority w:val="0"/>
  </w:style>
  <w:style w:type="paragraph" w:customStyle="1" w:styleId="13">
    <w:name w:val="Default"/>
    <w:unhideWhenUsed/>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Office_11.2.0.8684_F1E327BC-269C-435d-A152-05C5408002CA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2018-11-29T17:23:00Z</dcterms:created>
  <dc:creator>garci</dc:creator>
  <cp:lastModifiedBy>lpena</cp:lastModifiedBy>
  <dcterms:modified xsi:type="dcterms:W3CDTF">2019-07-31T13:29:33Z</dcterms:modified>
  <dc:title>Microsoft Word - EIA-FEVA-011 Nota de primera y segunda solicitud de informaciÃ³n aclaratoria.docx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