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25D" w:rsidRPr="00460DB9" w:rsidRDefault="0019325D" w:rsidP="0019325D">
      <w:pPr>
        <w:spacing w:line="276" w:lineRule="auto"/>
        <w:outlineLvl w:val="0"/>
        <w:rPr>
          <w:b/>
          <w:lang w:val="es-MX"/>
        </w:rPr>
      </w:pPr>
    </w:p>
    <w:p w:rsidR="0019325D" w:rsidRPr="00460DB9" w:rsidRDefault="0019325D" w:rsidP="0019325D">
      <w:pPr>
        <w:spacing w:line="276" w:lineRule="auto"/>
        <w:jc w:val="center"/>
        <w:outlineLvl w:val="0"/>
        <w:rPr>
          <w:b/>
          <w:lang w:val="es-MX"/>
        </w:rPr>
      </w:pPr>
      <w:r w:rsidRPr="00460DB9">
        <w:rPr>
          <w:b/>
          <w:lang w:val="es-MX"/>
        </w:rPr>
        <w:t xml:space="preserve">  MINISTERIO DE AMBIENTE</w:t>
      </w:r>
    </w:p>
    <w:p w:rsidR="0019325D" w:rsidRPr="00460DB9" w:rsidRDefault="0019325D" w:rsidP="0019325D">
      <w:pPr>
        <w:spacing w:line="276" w:lineRule="auto"/>
        <w:jc w:val="center"/>
        <w:rPr>
          <w:rFonts w:eastAsia="MS Mincho"/>
          <w:b/>
          <w:lang w:val="es-MX"/>
        </w:rPr>
      </w:pPr>
      <w:r w:rsidRPr="00460DB9">
        <w:rPr>
          <w:rFonts w:eastAsia="MS Mincho"/>
          <w:b/>
          <w:lang w:val="es-MX"/>
        </w:rPr>
        <w:t>DIRECCIÓN REGIONAL DE CHIRIQUÍ</w:t>
      </w:r>
    </w:p>
    <w:p w:rsidR="0019325D" w:rsidRPr="00460DB9" w:rsidRDefault="0019325D" w:rsidP="0019325D">
      <w:pPr>
        <w:spacing w:line="276" w:lineRule="auto"/>
        <w:jc w:val="center"/>
        <w:rPr>
          <w:rFonts w:eastAsia="MS Mincho"/>
          <w:b/>
          <w:lang w:val="es-MX"/>
        </w:rPr>
      </w:pPr>
      <w:r w:rsidRPr="00460DB9">
        <w:rPr>
          <w:rFonts w:eastAsia="MS Mincho"/>
          <w:b/>
          <w:lang w:val="es-MX"/>
        </w:rPr>
        <w:t>SECCIÓN DE EVALUACIÓN DE IMPACTO AMBIENTAL</w:t>
      </w:r>
    </w:p>
    <w:p w:rsidR="0019325D" w:rsidRPr="00460DB9" w:rsidRDefault="0019325D" w:rsidP="0019325D">
      <w:pPr>
        <w:spacing w:line="276" w:lineRule="auto"/>
        <w:jc w:val="center"/>
        <w:rPr>
          <w:rFonts w:eastAsia="MS Mincho"/>
          <w:b/>
          <w:lang w:val="es-MX"/>
        </w:rPr>
      </w:pPr>
      <w:r w:rsidRPr="00460DB9">
        <w:rPr>
          <w:rFonts w:eastAsia="MS Mincho"/>
          <w:b/>
          <w:lang w:val="es-MX"/>
        </w:rPr>
        <w:t xml:space="preserve">INFORME TÉCNICO DE </w:t>
      </w:r>
      <w:r w:rsidRPr="00460DB9">
        <w:rPr>
          <w:rFonts w:eastAsia="MS Mincho"/>
          <w:b/>
        </w:rPr>
        <w:t>EVALUACIÓN</w:t>
      </w:r>
      <w:r w:rsidRPr="00460DB9">
        <w:rPr>
          <w:rFonts w:eastAsia="MS Mincho"/>
          <w:b/>
          <w:lang w:val="es-MX"/>
        </w:rPr>
        <w:t xml:space="preserve"> DE ESTUDIO DE IMPACTO AMBIENTAL</w:t>
      </w:r>
    </w:p>
    <w:p w:rsidR="0019325D" w:rsidRPr="00460DB9" w:rsidRDefault="0019325D" w:rsidP="0019325D">
      <w:pPr>
        <w:spacing w:line="276" w:lineRule="auto"/>
        <w:jc w:val="both"/>
        <w:rPr>
          <w:rFonts w:eastAsia="MS Mincho"/>
          <w:b/>
          <w:lang w:val="es-MX"/>
        </w:rPr>
      </w:pPr>
    </w:p>
    <w:p w:rsidR="0019325D" w:rsidRPr="00460DB9" w:rsidRDefault="0019325D" w:rsidP="0019325D">
      <w:pPr>
        <w:spacing w:line="276" w:lineRule="auto"/>
        <w:jc w:val="both"/>
        <w:rPr>
          <w:rFonts w:eastAsia="MS Mincho"/>
          <w:b/>
          <w:lang w:val="es-MX"/>
        </w:rPr>
      </w:pPr>
    </w:p>
    <w:p w:rsidR="0019325D" w:rsidRPr="00460DB9" w:rsidRDefault="0019325D" w:rsidP="0019325D">
      <w:pPr>
        <w:numPr>
          <w:ilvl w:val="0"/>
          <w:numId w:val="1"/>
        </w:numPr>
        <w:tabs>
          <w:tab w:val="left" w:pos="-1890"/>
        </w:tabs>
        <w:autoSpaceDE w:val="0"/>
        <w:autoSpaceDN w:val="0"/>
        <w:adjustRightInd w:val="0"/>
        <w:spacing w:line="276" w:lineRule="auto"/>
        <w:ind w:left="360"/>
        <w:jc w:val="both"/>
        <w:rPr>
          <w:b/>
          <w:lang w:val="es-MX"/>
        </w:rPr>
      </w:pPr>
      <w:r w:rsidRPr="00460DB9">
        <w:rPr>
          <w:b/>
          <w:lang w:val="es-MX"/>
        </w:rPr>
        <w:t>DATOS GENERALES</w:t>
      </w:r>
    </w:p>
    <w:p w:rsidR="0019325D" w:rsidRPr="00460DB9" w:rsidRDefault="0019325D" w:rsidP="0019325D">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19325D" w:rsidRPr="00460DB9" w:rsidTr="007C07CC">
        <w:trPr>
          <w:jc w:val="center"/>
        </w:trPr>
        <w:tc>
          <w:tcPr>
            <w:tcW w:w="3618" w:type="dxa"/>
            <w:shd w:val="clear" w:color="auto" w:fill="auto"/>
          </w:tcPr>
          <w:p w:rsidR="0019325D" w:rsidRPr="00460DB9" w:rsidRDefault="0019325D" w:rsidP="007C07CC">
            <w:pPr>
              <w:spacing w:line="276" w:lineRule="auto"/>
              <w:ind w:right="162"/>
              <w:jc w:val="both"/>
              <w:rPr>
                <w:b/>
                <w:lang w:val="es-MX"/>
              </w:rPr>
            </w:pPr>
            <w:r w:rsidRPr="00460DB9">
              <w:rPr>
                <w:b/>
                <w:lang w:val="es-MX"/>
              </w:rPr>
              <w:t>FECHA:</w:t>
            </w:r>
          </w:p>
        </w:tc>
        <w:tc>
          <w:tcPr>
            <w:tcW w:w="5400" w:type="dxa"/>
            <w:shd w:val="clear" w:color="auto" w:fill="auto"/>
          </w:tcPr>
          <w:p w:rsidR="0019325D" w:rsidRPr="00460DB9" w:rsidRDefault="0019325D" w:rsidP="007C07CC">
            <w:pPr>
              <w:spacing w:line="276" w:lineRule="auto"/>
              <w:jc w:val="both"/>
              <w:rPr>
                <w:b/>
                <w:lang w:val="es-MX"/>
              </w:rPr>
            </w:pPr>
            <w:r>
              <w:rPr>
                <w:color w:val="000000"/>
                <w:spacing w:val="-3"/>
              </w:rPr>
              <w:t>6</w:t>
            </w:r>
            <w:r w:rsidRPr="00460DB9">
              <w:rPr>
                <w:color w:val="000000"/>
                <w:spacing w:val="-3"/>
              </w:rPr>
              <w:t xml:space="preserve"> DE </w:t>
            </w:r>
            <w:r>
              <w:rPr>
                <w:color w:val="000000"/>
                <w:spacing w:val="-3"/>
                <w:lang w:val="es-PA"/>
              </w:rPr>
              <w:t>AGOSTO</w:t>
            </w:r>
            <w:r w:rsidRPr="00460DB9">
              <w:rPr>
                <w:color w:val="000000"/>
                <w:spacing w:val="-3"/>
              </w:rPr>
              <w:t xml:space="preserve"> DE 2019</w:t>
            </w:r>
          </w:p>
        </w:tc>
      </w:tr>
      <w:tr w:rsidR="0019325D" w:rsidRPr="00460DB9" w:rsidTr="007C07CC">
        <w:trPr>
          <w:trHeight w:val="371"/>
          <w:jc w:val="center"/>
        </w:trPr>
        <w:tc>
          <w:tcPr>
            <w:tcW w:w="3618" w:type="dxa"/>
            <w:shd w:val="clear" w:color="auto" w:fill="auto"/>
          </w:tcPr>
          <w:p w:rsidR="0019325D" w:rsidRPr="00460DB9" w:rsidRDefault="0019325D" w:rsidP="007C07CC">
            <w:pPr>
              <w:spacing w:line="276" w:lineRule="auto"/>
              <w:jc w:val="both"/>
              <w:rPr>
                <w:b/>
                <w:lang w:val="es-MX"/>
              </w:rPr>
            </w:pPr>
            <w:r w:rsidRPr="00460DB9">
              <w:rPr>
                <w:b/>
                <w:lang w:val="es-MX"/>
              </w:rPr>
              <w:t>NOMBRE DEL PROYECTO:</w:t>
            </w:r>
          </w:p>
        </w:tc>
        <w:tc>
          <w:tcPr>
            <w:tcW w:w="5400" w:type="dxa"/>
            <w:shd w:val="clear" w:color="auto" w:fill="auto"/>
          </w:tcPr>
          <w:p w:rsidR="0019325D" w:rsidRPr="00460DB9" w:rsidRDefault="0019325D" w:rsidP="007C07CC">
            <w:pPr>
              <w:spacing w:line="276" w:lineRule="auto"/>
              <w:jc w:val="both"/>
            </w:pPr>
            <w:r w:rsidRPr="0019325D">
              <w:t>URBANIZACIÓN ALEXANDRA</w:t>
            </w:r>
          </w:p>
        </w:tc>
      </w:tr>
      <w:tr w:rsidR="0019325D" w:rsidRPr="00460DB9" w:rsidTr="007C07CC">
        <w:trPr>
          <w:trHeight w:val="305"/>
          <w:jc w:val="center"/>
        </w:trPr>
        <w:tc>
          <w:tcPr>
            <w:tcW w:w="3618" w:type="dxa"/>
            <w:shd w:val="clear" w:color="auto" w:fill="auto"/>
          </w:tcPr>
          <w:p w:rsidR="0019325D" w:rsidRPr="00460DB9" w:rsidRDefault="0019325D" w:rsidP="007C07CC">
            <w:pPr>
              <w:spacing w:line="276" w:lineRule="auto"/>
              <w:jc w:val="both"/>
              <w:rPr>
                <w:lang w:val="es-MX"/>
              </w:rPr>
            </w:pPr>
            <w:r w:rsidRPr="00460DB9">
              <w:rPr>
                <w:b/>
              </w:rPr>
              <w:t>PROMOTOR:</w:t>
            </w:r>
            <w:r w:rsidRPr="00460DB9">
              <w:t xml:space="preserve">                              </w:t>
            </w:r>
          </w:p>
        </w:tc>
        <w:tc>
          <w:tcPr>
            <w:tcW w:w="5400" w:type="dxa"/>
            <w:shd w:val="clear" w:color="auto" w:fill="auto"/>
          </w:tcPr>
          <w:p w:rsidR="0019325D" w:rsidRPr="00460DB9" w:rsidRDefault="0019325D" w:rsidP="007C07CC">
            <w:pPr>
              <w:spacing w:line="276" w:lineRule="auto"/>
              <w:jc w:val="both"/>
              <w:rPr>
                <w:color w:val="000000"/>
                <w:spacing w:val="-3"/>
                <w:lang w:val="es-PA"/>
              </w:rPr>
            </w:pPr>
            <w:r w:rsidRPr="0019325D">
              <w:rPr>
                <w:spacing w:val="-3"/>
                <w:lang w:val="es-PA"/>
              </w:rPr>
              <w:t>JARDINES DE VILLA-REAL, S. A.</w:t>
            </w:r>
          </w:p>
        </w:tc>
      </w:tr>
      <w:tr w:rsidR="0019325D" w:rsidRPr="00460DB9" w:rsidTr="007C07CC">
        <w:trPr>
          <w:jc w:val="center"/>
        </w:trPr>
        <w:tc>
          <w:tcPr>
            <w:tcW w:w="3618" w:type="dxa"/>
            <w:shd w:val="clear" w:color="auto" w:fill="auto"/>
          </w:tcPr>
          <w:p w:rsidR="0019325D" w:rsidRPr="00460DB9" w:rsidRDefault="0019325D" w:rsidP="007C07CC">
            <w:pPr>
              <w:spacing w:line="276" w:lineRule="auto"/>
              <w:jc w:val="both"/>
              <w:rPr>
                <w:b/>
              </w:rPr>
            </w:pPr>
            <w:r w:rsidRPr="00460DB9">
              <w:rPr>
                <w:b/>
              </w:rPr>
              <w:t>REPRESENTANTE LEGAL:</w:t>
            </w:r>
          </w:p>
        </w:tc>
        <w:tc>
          <w:tcPr>
            <w:tcW w:w="5400" w:type="dxa"/>
            <w:shd w:val="clear" w:color="auto" w:fill="auto"/>
          </w:tcPr>
          <w:p w:rsidR="0019325D" w:rsidRPr="00460DB9" w:rsidRDefault="0019325D" w:rsidP="007C07CC">
            <w:pPr>
              <w:spacing w:line="276" w:lineRule="auto"/>
              <w:jc w:val="both"/>
            </w:pPr>
            <w:r w:rsidRPr="0019325D">
              <w:t>JORGE ALBERTO VILLARREAL DELGADO</w:t>
            </w:r>
          </w:p>
        </w:tc>
      </w:tr>
      <w:tr w:rsidR="0019325D" w:rsidRPr="00460DB9" w:rsidTr="007C07CC">
        <w:trPr>
          <w:jc w:val="center"/>
        </w:trPr>
        <w:tc>
          <w:tcPr>
            <w:tcW w:w="3618" w:type="dxa"/>
            <w:shd w:val="clear" w:color="auto" w:fill="auto"/>
          </w:tcPr>
          <w:p w:rsidR="0019325D" w:rsidRPr="00460DB9" w:rsidRDefault="0019325D" w:rsidP="007C07CC">
            <w:pPr>
              <w:spacing w:line="276" w:lineRule="auto"/>
              <w:jc w:val="both"/>
              <w:rPr>
                <w:b/>
              </w:rPr>
            </w:pPr>
            <w:r w:rsidRPr="00460DB9">
              <w:rPr>
                <w:b/>
              </w:rPr>
              <w:t>UBICACIÓN:</w:t>
            </w:r>
          </w:p>
        </w:tc>
        <w:tc>
          <w:tcPr>
            <w:tcW w:w="5400" w:type="dxa"/>
            <w:shd w:val="clear" w:color="auto" w:fill="auto"/>
          </w:tcPr>
          <w:p w:rsidR="0019325D" w:rsidRPr="00460DB9" w:rsidRDefault="0019325D" w:rsidP="007C07CC">
            <w:pPr>
              <w:spacing w:line="276" w:lineRule="auto"/>
              <w:jc w:val="both"/>
              <w:rPr>
                <w:rFonts w:eastAsia="MS Mincho"/>
                <w:lang w:val="es-MX"/>
              </w:rPr>
            </w:pPr>
            <w:r>
              <w:rPr>
                <w:spacing w:val="-3"/>
              </w:rPr>
              <w:t xml:space="preserve">LOMA COLORADA, </w:t>
            </w:r>
            <w:r w:rsidRPr="00460DB9">
              <w:rPr>
                <w:spacing w:val="-3"/>
              </w:rPr>
              <w:t>CORREGIMIENTO DE DAVID, DISTRITO DE DAVID, PROVINCIA DE CHIRIQUÍ</w:t>
            </w:r>
          </w:p>
        </w:tc>
      </w:tr>
    </w:tbl>
    <w:p w:rsidR="0019325D" w:rsidRPr="00460DB9" w:rsidRDefault="0019325D" w:rsidP="0019325D">
      <w:pPr>
        <w:tabs>
          <w:tab w:val="left" w:pos="-1890"/>
        </w:tabs>
        <w:autoSpaceDE w:val="0"/>
        <w:autoSpaceDN w:val="0"/>
        <w:adjustRightInd w:val="0"/>
        <w:spacing w:line="276" w:lineRule="auto"/>
        <w:jc w:val="both"/>
        <w:rPr>
          <w:b/>
        </w:rPr>
      </w:pPr>
    </w:p>
    <w:p w:rsidR="0019325D" w:rsidRPr="00460DB9" w:rsidRDefault="0019325D" w:rsidP="0019325D">
      <w:pPr>
        <w:numPr>
          <w:ilvl w:val="0"/>
          <w:numId w:val="1"/>
        </w:numPr>
        <w:tabs>
          <w:tab w:val="left" w:pos="-1890"/>
        </w:tabs>
        <w:autoSpaceDE w:val="0"/>
        <w:autoSpaceDN w:val="0"/>
        <w:adjustRightInd w:val="0"/>
        <w:spacing w:line="276" w:lineRule="auto"/>
        <w:ind w:left="360"/>
        <w:jc w:val="both"/>
        <w:rPr>
          <w:b/>
        </w:rPr>
      </w:pPr>
      <w:r w:rsidRPr="00460DB9">
        <w:rPr>
          <w:b/>
        </w:rPr>
        <w:t>ANTECEDENTES</w:t>
      </w:r>
    </w:p>
    <w:p w:rsidR="0019325D" w:rsidRPr="00460DB9" w:rsidRDefault="0019325D" w:rsidP="0019325D">
      <w:pPr>
        <w:tabs>
          <w:tab w:val="left" w:pos="-1890"/>
        </w:tabs>
        <w:autoSpaceDE w:val="0"/>
        <w:autoSpaceDN w:val="0"/>
        <w:adjustRightInd w:val="0"/>
        <w:spacing w:line="276" w:lineRule="auto"/>
        <w:ind w:left="360"/>
        <w:jc w:val="both"/>
        <w:rPr>
          <w:b/>
          <w:highlight w:val="yellow"/>
        </w:rPr>
      </w:pPr>
    </w:p>
    <w:p w:rsidR="0019325D" w:rsidRPr="00460DB9" w:rsidRDefault="0019325D" w:rsidP="0019325D">
      <w:pPr>
        <w:spacing w:line="276" w:lineRule="auto"/>
        <w:jc w:val="both"/>
      </w:pPr>
      <w:r w:rsidRPr="00460DB9">
        <w:t xml:space="preserve">En cumplimiento de lo dispuesto en el artículo 20 de la Ley No. 8 de 25 de marzo de 2015, el día </w:t>
      </w:r>
      <w:r w:rsidR="00BC3D0E">
        <w:rPr>
          <w:lang w:val="es-PA"/>
        </w:rPr>
        <w:t>6</w:t>
      </w:r>
      <w:r w:rsidRPr="00460DB9">
        <w:t xml:space="preserve"> de </w:t>
      </w:r>
      <w:r>
        <w:rPr>
          <w:lang w:val="es-PA"/>
        </w:rPr>
        <w:t>jun</w:t>
      </w:r>
      <w:r w:rsidRPr="00460DB9">
        <w:rPr>
          <w:lang w:val="es-PA"/>
        </w:rPr>
        <w:t>io</w:t>
      </w:r>
      <w:r w:rsidRPr="00460DB9">
        <w:t xml:space="preserve"> de 2019, el señor </w:t>
      </w:r>
      <w:r w:rsidRPr="0019325D">
        <w:rPr>
          <w:b/>
        </w:rPr>
        <w:t>JORGE ALBERTO VILLARREAL DELGADO</w:t>
      </w:r>
      <w:r w:rsidRPr="00460DB9">
        <w:rPr>
          <w:rFonts w:eastAsia="SimSun"/>
          <w:bCs/>
        </w:rPr>
        <w:t xml:space="preserve">, con identidad personal número </w:t>
      </w:r>
      <w:r w:rsidRPr="0019325D">
        <w:rPr>
          <w:rFonts w:eastAsia="SimSun"/>
          <w:b/>
          <w:bCs/>
          <w:lang w:val="es-PA"/>
        </w:rPr>
        <w:t>4-132-1364</w:t>
      </w:r>
      <w:r w:rsidRPr="00460DB9">
        <w:rPr>
          <w:b/>
          <w:color w:val="000000"/>
        </w:rPr>
        <w:t xml:space="preserve">, </w:t>
      </w:r>
      <w:r w:rsidRPr="00460DB9">
        <w:t>presentó ante el Ministerio de Ambiente (MiAMBIENTE) un Estudio de Impacto Ambiental (EsIA), Categoría I, denominado “</w:t>
      </w:r>
      <w:r w:rsidRPr="0019325D">
        <w:rPr>
          <w:b/>
        </w:rPr>
        <w:t>URBANIZACIÓN ALEXANDRA</w:t>
      </w:r>
      <w:r w:rsidRPr="00460DB9">
        <w:t>”, elaborado bajo la responsabilidad de los consultores</w:t>
      </w:r>
      <w:r w:rsidRPr="00460DB9">
        <w:rPr>
          <w:b/>
        </w:rPr>
        <w:t xml:space="preserve"> </w:t>
      </w:r>
      <w:r>
        <w:rPr>
          <w:b/>
        </w:rPr>
        <w:t>HARMODIO</w:t>
      </w:r>
      <w:r w:rsidRPr="0019325D">
        <w:rPr>
          <w:b/>
        </w:rPr>
        <w:t xml:space="preserve"> CERRUD </w:t>
      </w:r>
      <w:r w:rsidRPr="00460DB9">
        <w:rPr>
          <w:b/>
        </w:rPr>
        <w:t>/</w:t>
      </w:r>
      <w:r w:rsidRPr="0019325D">
        <w:t xml:space="preserve"> </w:t>
      </w:r>
      <w:r w:rsidRPr="0019325D">
        <w:rPr>
          <w:b/>
        </w:rPr>
        <w:t>AXEL CABALLERO</w:t>
      </w:r>
      <w:r w:rsidRPr="00460DB9">
        <w:rPr>
          <w:b/>
        </w:rPr>
        <w:t xml:space="preserve">, </w:t>
      </w:r>
      <w:r w:rsidRPr="00460DB9">
        <w:t>personas naturales inscritas en el Registro de  Consultores Idóneos que  lleva el Ministerio de Ambiente (MiAMBIENTE), mediante las Resoluciones</w:t>
      </w:r>
      <w:r w:rsidRPr="00460DB9">
        <w:rPr>
          <w:color w:val="000000"/>
          <w:lang w:val="es-PA" w:eastAsia="es-PA"/>
        </w:rPr>
        <w:t xml:space="preserve"> </w:t>
      </w:r>
      <w:r w:rsidRPr="0019325D">
        <w:rPr>
          <w:b/>
          <w:color w:val="000000"/>
          <w:lang w:eastAsia="es-PA"/>
        </w:rPr>
        <w:t xml:space="preserve">IRC-054-07 </w:t>
      </w:r>
      <w:r w:rsidRPr="00460DB9">
        <w:rPr>
          <w:b/>
          <w:color w:val="000000"/>
          <w:lang w:eastAsia="es-PA"/>
        </w:rPr>
        <w:t xml:space="preserve">e </w:t>
      </w:r>
      <w:r w:rsidRPr="0019325D">
        <w:rPr>
          <w:b/>
          <w:color w:val="000000"/>
          <w:lang w:val="es-PA" w:eastAsia="es-PA"/>
        </w:rPr>
        <w:t>IRC-019-09</w:t>
      </w:r>
      <w:r w:rsidRPr="00460DB9">
        <w:rPr>
          <w:color w:val="000000"/>
          <w:lang w:val="es-PA" w:eastAsia="es-PA"/>
        </w:rPr>
        <w:t xml:space="preserve">, </w:t>
      </w:r>
      <w:r w:rsidRPr="00460DB9">
        <w:t>respectivamente.</w:t>
      </w:r>
    </w:p>
    <w:p w:rsidR="0019325D" w:rsidRPr="00460DB9" w:rsidRDefault="0019325D" w:rsidP="0019325D">
      <w:pPr>
        <w:autoSpaceDE w:val="0"/>
        <w:autoSpaceDN w:val="0"/>
        <w:adjustRightInd w:val="0"/>
        <w:jc w:val="both"/>
        <w:rPr>
          <w:bCs/>
        </w:rPr>
      </w:pPr>
    </w:p>
    <w:p w:rsidR="0019325D" w:rsidRPr="00460DB9" w:rsidRDefault="0019325D" w:rsidP="0019325D">
      <w:pPr>
        <w:autoSpaceDE w:val="0"/>
        <w:autoSpaceDN w:val="0"/>
        <w:adjustRightInd w:val="0"/>
        <w:jc w:val="both"/>
      </w:pPr>
      <w:r w:rsidRPr="00460DB9">
        <w:rPr>
          <w:bCs/>
        </w:rPr>
        <w:t>De acuerdo al EsIA, el proyecto en evaluación titulado</w:t>
      </w:r>
      <w:r w:rsidRPr="00460DB9">
        <w:rPr>
          <w:b/>
          <w:bCs/>
        </w:rPr>
        <w:t xml:space="preserve"> “</w:t>
      </w:r>
      <w:r w:rsidRPr="0019325D">
        <w:rPr>
          <w:b/>
          <w:bCs/>
        </w:rPr>
        <w:t>URBANIZACIÓN ALEXANDRA</w:t>
      </w:r>
      <w:r w:rsidRPr="00460DB9">
        <w:rPr>
          <w:b/>
        </w:rPr>
        <w:t>”</w:t>
      </w:r>
      <w:r w:rsidRPr="00460DB9">
        <w:rPr>
          <w:b/>
          <w:bCs/>
        </w:rPr>
        <w:t>,</w:t>
      </w:r>
      <w:r w:rsidRPr="00460DB9">
        <w:rPr>
          <w:bCs/>
        </w:rPr>
        <w:t xml:space="preserve"> </w:t>
      </w:r>
      <w:r w:rsidRPr="00460DB9">
        <w:t xml:space="preserve">consiste en la </w:t>
      </w:r>
      <w:r w:rsidRPr="0019325D">
        <w:t>construcción de una urbanización en un terreno con una exte</w:t>
      </w:r>
      <w:r>
        <w:t>nsión total de 8 ha + 945.38 m</w:t>
      </w:r>
      <w:r w:rsidRPr="0019325D">
        <w:rPr>
          <w:vertAlign w:val="superscript"/>
        </w:rPr>
        <w:t>2</w:t>
      </w:r>
      <w:r w:rsidRPr="0019325D">
        <w:t>. Se propone la construcción de un total de 119 viviendas (lotes), para lo cual se han contemplado todos los requerimientos exigidos en la legislación vigente, como son: áreas verdes, áreas de uso público y recreación, calles e infraestructura la prestación de los servicios básicos. El detalle de la superficie correspondiente a cada área se puede apreciar en los planos adjuntos al estudio. La urbanización contará también con un tanque de reserva de agua potable con la capacidad suficiente (20,000 galones aprox.) para satisfacer las necesidades de los residentes. Cabe indicar que para el tratamiento de las aguas servidas cada vivienda contará con su respectivo tanque séptico. La urbanización propuesta contará con las demás facilidades estipuladas en la legislación vigente, como son: cunetas, aceras, luminarias y otras que facilitan el desarrollo de la vida urbana.</w:t>
      </w:r>
    </w:p>
    <w:p w:rsidR="0019325D" w:rsidRPr="00460DB9" w:rsidRDefault="0019325D" w:rsidP="0019325D">
      <w:pPr>
        <w:autoSpaceDE w:val="0"/>
        <w:autoSpaceDN w:val="0"/>
        <w:adjustRightInd w:val="0"/>
        <w:jc w:val="both"/>
        <w:rPr>
          <w:bCs/>
        </w:rPr>
      </w:pPr>
    </w:p>
    <w:p w:rsidR="0019325D" w:rsidRPr="00460DB9" w:rsidRDefault="0019325D" w:rsidP="0019325D">
      <w:pPr>
        <w:autoSpaceDE w:val="0"/>
        <w:autoSpaceDN w:val="0"/>
        <w:adjustRightInd w:val="0"/>
        <w:jc w:val="both"/>
      </w:pPr>
      <w:r w:rsidRPr="00460DB9">
        <w:rPr>
          <w:bCs/>
        </w:rPr>
        <w:t>El terreno donde se desarrollará el proyecto se encuentra registrado con el número de finca: folio Real No</w:t>
      </w:r>
      <w:r w:rsidR="00A52469">
        <w:rPr>
          <w:bCs/>
        </w:rPr>
        <w:t>. 30195831</w:t>
      </w:r>
      <w:r w:rsidRPr="00460DB9">
        <w:rPr>
          <w:bCs/>
        </w:rPr>
        <w:t xml:space="preserve"> y Código de ubicació</w:t>
      </w:r>
      <w:r w:rsidR="00A52469">
        <w:rPr>
          <w:bCs/>
        </w:rPr>
        <w:t>n 4501, con una superficie de 8 ha 945</w:t>
      </w:r>
      <w:r w:rsidRPr="00460DB9">
        <w:rPr>
          <w:bCs/>
        </w:rPr>
        <w:t xml:space="preserve"> m</w:t>
      </w:r>
      <w:r w:rsidRPr="00460DB9">
        <w:rPr>
          <w:bCs/>
          <w:vertAlign w:val="superscript"/>
        </w:rPr>
        <w:t>2</w:t>
      </w:r>
      <w:r w:rsidR="00A52469">
        <w:rPr>
          <w:bCs/>
          <w:vertAlign w:val="superscript"/>
        </w:rPr>
        <w:t xml:space="preserve"> </w:t>
      </w:r>
      <w:r w:rsidR="00A52469">
        <w:rPr>
          <w:bCs/>
        </w:rPr>
        <w:t>38 dm</w:t>
      </w:r>
      <w:r w:rsidR="00A52469" w:rsidRPr="00A52469">
        <w:rPr>
          <w:bCs/>
          <w:vertAlign w:val="superscript"/>
        </w:rPr>
        <w:t>2</w:t>
      </w:r>
      <w:r w:rsidRPr="00460DB9">
        <w:rPr>
          <w:bCs/>
        </w:rPr>
        <w:t>. El proyecto está</w:t>
      </w:r>
      <w:r w:rsidRPr="00460DB9">
        <w:t xml:space="preserve"> </w:t>
      </w:r>
      <w:r w:rsidRPr="00460DB9">
        <w:rPr>
          <w:bCs/>
        </w:rPr>
        <w:t xml:space="preserve">ubicado en el Corregimiento de David, Distrito de David, Provincia de Chiriquí. </w:t>
      </w:r>
      <w:r w:rsidRPr="00460DB9">
        <w:rPr>
          <w:color w:val="000000"/>
          <w:spacing w:val="-3"/>
        </w:rPr>
        <w:t xml:space="preserve">El monto total de la inversión </w:t>
      </w:r>
      <w:r w:rsidRPr="00460DB9">
        <w:t xml:space="preserve">se estima en B/. </w:t>
      </w:r>
      <w:r w:rsidR="00A52469" w:rsidRPr="00A52469">
        <w:t>3,500.000.00 (Tres Millones Quinientos Mil Balboas).</w:t>
      </w:r>
    </w:p>
    <w:p w:rsidR="0019325D" w:rsidRPr="00460DB9" w:rsidRDefault="0019325D" w:rsidP="0019325D">
      <w:pPr>
        <w:jc w:val="both"/>
        <w:rPr>
          <w:lang w:val="es-PA" w:eastAsia="es-PA"/>
        </w:rPr>
      </w:pPr>
    </w:p>
    <w:p w:rsidR="0019325D" w:rsidRPr="00460DB9" w:rsidRDefault="0019325D" w:rsidP="0019325D">
      <w:pPr>
        <w:jc w:val="both"/>
        <w:rPr>
          <w:lang w:val="es-PA" w:eastAsia="es-PA"/>
        </w:rPr>
      </w:pPr>
    </w:p>
    <w:p w:rsidR="0019325D" w:rsidRPr="00460DB9" w:rsidRDefault="0019325D" w:rsidP="00A52469">
      <w:pPr>
        <w:spacing w:line="276" w:lineRule="auto"/>
        <w:jc w:val="both"/>
        <w:outlineLvl w:val="1"/>
        <w:rPr>
          <w:spacing w:val="-3"/>
        </w:rPr>
      </w:pPr>
      <w:r w:rsidRPr="00460DB9">
        <w:rPr>
          <w:spacing w:val="-3"/>
        </w:rPr>
        <w:t xml:space="preserve">De acuerdo al EsIA, el proyecto se construirá en las coordenadas UTM (DATUM WGS-84) ubicadas en los siguientes puntos: </w:t>
      </w:r>
    </w:p>
    <w:p w:rsidR="00A52469" w:rsidRPr="00A52469" w:rsidRDefault="00A52469" w:rsidP="00A52469">
      <w:pPr>
        <w:spacing w:line="276" w:lineRule="auto"/>
        <w:jc w:val="both"/>
        <w:rPr>
          <w:spacing w:val="-3"/>
        </w:rPr>
      </w:pPr>
    </w:p>
    <w:tbl>
      <w:tblPr>
        <w:tblStyle w:val="Tablaconcuadrcula"/>
        <w:tblW w:w="0" w:type="auto"/>
        <w:tblInd w:w="3239" w:type="dxa"/>
        <w:tblLook w:val="04A0" w:firstRow="1" w:lastRow="0" w:firstColumn="1" w:lastColumn="0" w:noHBand="0" w:noVBand="1"/>
      </w:tblPr>
      <w:tblGrid>
        <w:gridCol w:w="1002"/>
        <w:gridCol w:w="1559"/>
        <w:gridCol w:w="1843"/>
      </w:tblGrid>
      <w:tr w:rsidR="00A52469" w:rsidTr="00A52469">
        <w:tc>
          <w:tcPr>
            <w:tcW w:w="1002" w:type="dxa"/>
          </w:tcPr>
          <w:p w:rsidR="00A52469" w:rsidRDefault="00A52469" w:rsidP="00A52469">
            <w:pPr>
              <w:spacing w:line="276" w:lineRule="auto"/>
              <w:jc w:val="both"/>
              <w:rPr>
                <w:spacing w:val="-3"/>
              </w:rPr>
            </w:pPr>
            <w:r>
              <w:rPr>
                <w:spacing w:val="-3"/>
              </w:rPr>
              <w:t>PUNTO</w:t>
            </w:r>
          </w:p>
        </w:tc>
        <w:tc>
          <w:tcPr>
            <w:tcW w:w="1559" w:type="dxa"/>
          </w:tcPr>
          <w:p w:rsidR="00A52469" w:rsidRDefault="00A52469" w:rsidP="00A52469">
            <w:pPr>
              <w:spacing w:line="276" w:lineRule="auto"/>
              <w:jc w:val="both"/>
              <w:rPr>
                <w:spacing w:val="-3"/>
              </w:rPr>
            </w:pPr>
            <w:r>
              <w:rPr>
                <w:spacing w:val="-3"/>
              </w:rPr>
              <w:t>ESTE</w:t>
            </w:r>
          </w:p>
        </w:tc>
        <w:tc>
          <w:tcPr>
            <w:tcW w:w="1843" w:type="dxa"/>
          </w:tcPr>
          <w:p w:rsidR="00A52469" w:rsidRDefault="00A52469" w:rsidP="00A52469">
            <w:pPr>
              <w:spacing w:line="276" w:lineRule="auto"/>
              <w:jc w:val="both"/>
              <w:rPr>
                <w:spacing w:val="-3"/>
              </w:rPr>
            </w:pPr>
            <w:r>
              <w:rPr>
                <w:spacing w:val="-3"/>
              </w:rPr>
              <w:t>NORTE</w:t>
            </w:r>
          </w:p>
        </w:tc>
      </w:tr>
      <w:tr w:rsidR="00A52469" w:rsidTr="00A52469">
        <w:tc>
          <w:tcPr>
            <w:tcW w:w="1002" w:type="dxa"/>
          </w:tcPr>
          <w:p w:rsidR="00A52469" w:rsidRDefault="00A52469" w:rsidP="00A52469">
            <w:pPr>
              <w:spacing w:line="276" w:lineRule="auto"/>
              <w:jc w:val="both"/>
              <w:rPr>
                <w:spacing w:val="-3"/>
              </w:rPr>
            </w:pPr>
            <w:r>
              <w:rPr>
                <w:spacing w:val="-3"/>
              </w:rPr>
              <w:t>1</w:t>
            </w:r>
          </w:p>
        </w:tc>
        <w:tc>
          <w:tcPr>
            <w:tcW w:w="1559" w:type="dxa"/>
          </w:tcPr>
          <w:p w:rsidR="00A52469" w:rsidRDefault="00A52469" w:rsidP="00A52469">
            <w:pPr>
              <w:spacing w:line="276" w:lineRule="auto"/>
              <w:jc w:val="both"/>
              <w:rPr>
                <w:spacing w:val="-3"/>
              </w:rPr>
            </w:pPr>
            <w:r w:rsidRPr="00A52469">
              <w:rPr>
                <w:spacing w:val="-3"/>
              </w:rPr>
              <w:t>344735.29</w:t>
            </w:r>
          </w:p>
        </w:tc>
        <w:tc>
          <w:tcPr>
            <w:tcW w:w="1843" w:type="dxa"/>
          </w:tcPr>
          <w:p w:rsidR="00A52469" w:rsidRDefault="00A52469" w:rsidP="00A52469">
            <w:pPr>
              <w:spacing w:line="276" w:lineRule="auto"/>
              <w:jc w:val="both"/>
              <w:rPr>
                <w:spacing w:val="-3"/>
              </w:rPr>
            </w:pPr>
            <w:r w:rsidRPr="00A52469">
              <w:rPr>
                <w:spacing w:val="-3"/>
              </w:rPr>
              <w:t>928648.85</w:t>
            </w:r>
          </w:p>
        </w:tc>
      </w:tr>
      <w:tr w:rsidR="00A52469" w:rsidTr="00A52469">
        <w:tc>
          <w:tcPr>
            <w:tcW w:w="1002" w:type="dxa"/>
          </w:tcPr>
          <w:p w:rsidR="00A52469" w:rsidRDefault="00A52469" w:rsidP="00A52469">
            <w:pPr>
              <w:spacing w:line="276" w:lineRule="auto"/>
              <w:jc w:val="both"/>
              <w:rPr>
                <w:spacing w:val="-3"/>
              </w:rPr>
            </w:pPr>
            <w:r>
              <w:rPr>
                <w:spacing w:val="-3"/>
              </w:rPr>
              <w:t>2</w:t>
            </w:r>
          </w:p>
        </w:tc>
        <w:tc>
          <w:tcPr>
            <w:tcW w:w="1559" w:type="dxa"/>
          </w:tcPr>
          <w:p w:rsidR="00A52469" w:rsidRDefault="00A52469" w:rsidP="00A52469">
            <w:pPr>
              <w:spacing w:line="276" w:lineRule="auto"/>
              <w:jc w:val="both"/>
              <w:rPr>
                <w:spacing w:val="-3"/>
              </w:rPr>
            </w:pPr>
            <w:r w:rsidRPr="00A52469">
              <w:rPr>
                <w:spacing w:val="-3"/>
              </w:rPr>
              <w:t>344697.40</w:t>
            </w:r>
          </w:p>
        </w:tc>
        <w:tc>
          <w:tcPr>
            <w:tcW w:w="1843" w:type="dxa"/>
          </w:tcPr>
          <w:p w:rsidR="00A52469" w:rsidRDefault="00A52469" w:rsidP="00A52469">
            <w:pPr>
              <w:spacing w:line="276" w:lineRule="auto"/>
              <w:jc w:val="both"/>
              <w:rPr>
                <w:spacing w:val="-3"/>
              </w:rPr>
            </w:pPr>
            <w:r w:rsidRPr="00A52469">
              <w:rPr>
                <w:spacing w:val="-3"/>
              </w:rPr>
              <w:t>928793.32</w:t>
            </w:r>
          </w:p>
        </w:tc>
      </w:tr>
      <w:tr w:rsidR="00A52469" w:rsidTr="00A52469">
        <w:tc>
          <w:tcPr>
            <w:tcW w:w="1002" w:type="dxa"/>
          </w:tcPr>
          <w:p w:rsidR="00A52469" w:rsidRDefault="00A52469" w:rsidP="00A52469">
            <w:pPr>
              <w:spacing w:line="276" w:lineRule="auto"/>
              <w:jc w:val="both"/>
              <w:rPr>
                <w:spacing w:val="-3"/>
              </w:rPr>
            </w:pPr>
            <w:r>
              <w:rPr>
                <w:spacing w:val="-3"/>
              </w:rPr>
              <w:t>3</w:t>
            </w:r>
          </w:p>
        </w:tc>
        <w:tc>
          <w:tcPr>
            <w:tcW w:w="1559" w:type="dxa"/>
          </w:tcPr>
          <w:p w:rsidR="00A52469" w:rsidRDefault="00A52469" w:rsidP="00A52469">
            <w:pPr>
              <w:spacing w:line="276" w:lineRule="auto"/>
              <w:jc w:val="both"/>
              <w:rPr>
                <w:spacing w:val="-3"/>
              </w:rPr>
            </w:pPr>
            <w:r w:rsidRPr="00A52469">
              <w:rPr>
                <w:spacing w:val="-3"/>
              </w:rPr>
              <w:t>344693.20</w:t>
            </w:r>
          </w:p>
        </w:tc>
        <w:tc>
          <w:tcPr>
            <w:tcW w:w="1843" w:type="dxa"/>
          </w:tcPr>
          <w:p w:rsidR="00A52469" w:rsidRDefault="00A52469" w:rsidP="00A52469">
            <w:pPr>
              <w:spacing w:line="276" w:lineRule="auto"/>
              <w:jc w:val="both"/>
              <w:rPr>
                <w:spacing w:val="-3"/>
              </w:rPr>
            </w:pPr>
            <w:r w:rsidRPr="00A52469">
              <w:rPr>
                <w:spacing w:val="-3"/>
              </w:rPr>
              <w:t>928810.36</w:t>
            </w:r>
          </w:p>
        </w:tc>
      </w:tr>
      <w:tr w:rsidR="00A52469" w:rsidTr="00A52469">
        <w:tc>
          <w:tcPr>
            <w:tcW w:w="1002" w:type="dxa"/>
          </w:tcPr>
          <w:p w:rsidR="00A52469" w:rsidRDefault="00A52469" w:rsidP="00A52469">
            <w:pPr>
              <w:spacing w:line="276" w:lineRule="auto"/>
              <w:jc w:val="both"/>
              <w:rPr>
                <w:spacing w:val="-3"/>
              </w:rPr>
            </w:pPr>
            <w:r>
              <w:rPr>
                <w:spacing w:val="-3"/>
              </w:rPr>
              <w:t>4</w:t>
            </w:r>
          </w:p>
        </w:tc>
        <w:tc>
          <w:tcPr>
            <w:tcW w:w="1559" w:type="dxa"/>
          </w:tcPr>
          <w:p w:rsidR="00A52469" w:rsidRDefault="00A52469" w:rsidP="00A52469">
            <w:pPr>
              <w:spacing w:line="276" w:lineRule="auto"/>
              <w:jc w:val="both"/>
              <w:rPr>
                <w:spacing w:val="-3"/>
              </w:rPr>
            </w:pPr>
            <w:r w:rsidRPr="00A52469">
              <w:rPr>
                <w:spacing w:val="-3"/>
              </w:rPr>
              <w:t>344654.46</w:t>
            </w:r>
          </w:p>
        </w:tc>
        <w:tc>
          <w:tcPr>
            <w:tcW w:w="1843" w:type="dxa"/>
          </w:tcPr>
          <w:p w:rsidR="00A52469" w:rsidRDefault="00A52469" w:rsidP="00A52469">
            <w:pPr>
              <w:spacing w:line="276" w:lineRule="auto"/>
              <w:jc w:val="both"/>
              <w:rPr>
                <w:spacing w:val="-3"/>
              </w:rPr>
            </w:pPr>
            <w:r w:rsidRPr="00A52469">
              <w:rPr>
                <w:spacing w:val="-3"/>
              </w:rPr>
              <w:t>928894.71</w:t>
            </w:r>
          </w:p>
        </w:tc>
      </w:tr>
      <w:tr w:rsidR="00A52469" w:rsidTr="00A52469">
        <w:tc>
          <w:tcPr>
            <w:tcW w:w="1002" w:type="dxa"/>
          </w:tcPr>
          <w:p w:rsidR="00A52469" w:rsidRDefault="00A52469" w:rsidP="00A52469">
            <w:pPr>
              <w:spacing w:line="276" w:lineRule="auto"/>
              <w:jc w:val="both"/>
              <w:rPr>
                <w:spacing w:val="-3"/>
              </w:rPr>
            </w:pPr>
            <w:r>
              <w:rPr>
                <w:spacing w:val="-3"/>
              </w:rPr>
              <w:t>5</w:t>
            </w:r>
          </w:p>
        </w:tc>
        <w:tc>
          <w:tcPr>
            <w:tcW w:w="1559" w:type="dxa"/>
          </w:tcPr>
          <w:p w:rsidR="00A52469" w:rsidRDefault="00A52469" w:rsidP="00A52469">
            <w:pPr>
              <w:spacing w:line="276" w:lineRule="auto"/>
              <w:jc w:val="both"/>
              <w:rPr>
                <w:spacing w:val="-3"/>
              </w:rPr>
            </w:pPr>
            <w:r w:rsidRPr="00A52469">
              <w:rPr>
                <w:spacing w:val="-3"/>
              </w:rPr>
              <w:t>344642.44</w:t>
            </w:r>
          </w:p>
        </w:tc>
        <w:tc>
          <w:tcPr>
            <w:tcW w:w="1843" w:type="dxa"/>
          </w:tcPr>
          <w:p w:rsidR="00A52469" w:rsidRDefault="00A52469" w:rsidP="00A52469">
            <w:pPr>
              <w:spacing w:line="276" w:lineRule="auto"/>
              <w:jc w:val="both"/>
              <w:rPr>
                <w:spacing w:val="-3"/>
              </w:rPr>
            </w:pPr>
            <w:r w:rsidRPr="00A52469">
              <w:rPr>
                <w:spacing w:val="-3"/>
              </w:rPr>
              <w:t>928921.91</w:t>
            </w:r>
          </w:p>
        </w:tc>
      </w:tr>
      <w:tr w:rsidR="00A52469" w:rsidTr="00A52469">
        <w:tc>
          <w:tcPr>
            <w:tcW w:w="1002" w:type="dxa"/>
          </w:tcPr>
          <w:p w:rsidR="00A52469" w:rsidRDefault="00A52469" w:rsidP="00A52469">
            <w:pPr>
              <w:spacing w:line="276" w:lineRule="auto"/>
              <w:jc w:val="both"/>
              <w:rPr>
                <w:spacing w:val="-3"/>
              </w:rPr>
            </w:pPr>
            <w:r>
              <w:rPr>
                <w:spacing w:val="-3"/>
              </w:rPr>
              <w:lastRenderedPageBreak/>
              <w:t>6</w:t>
            </w:r>
          </w:p>
        </w:tc>
        <w:tc>
          <w:tcPr>
            <w:tcW w:w="1559" w:type="dxa"/>
          </w:tcPr>
          <w:p w:rsidR="00A52469" w:rsidRDefault="00A52469" w:rsidP="00A52469">
            <w:pPr>
              <w:spacing w:line="276" w:lineRule="auto"/>
              <w:jc w:val="both"/>
              <w:rPr>
                <w:spacing w:val="-3"/>
              </w:rPr>
            </w:pPr>
            <w:r w:rsidRPr="00A52469">
              <w:rPr>
                <w:spacing w:val="-3"/>
              </w:rPr>
              <w:t>344413.26</w:t>
            </w:r>
          </w:p>
        </w:tc>
        <w:tc>
          <w:tcPr>
            <w:tcW w:w="1843" w:type="dxa"/>
          </w:tcPr>
          <w:p w:rsidR="00A52469" w:rsidRDefault="00A52469" w:rsidP="00A52469">
            <w:pPr>
              <w:spacing w:line="276" w:lineRule="auto"/>
              <w:jc w:val="both"/>
              <w:rPr>
                <w:spacing w:val="-3"/>
              </w:rPr>
            </w:pPr>
            <w:r w:rsidRPr="00A52469">
              <w:rPr>
                <w:spacing w:val="-3"/>
              </w:rPr>
              <w:t>928951.16</w:t>
            </w:r>
          </w:p>
        </w:tc>
      </w:tr>
      <w:tr w:rsidR="00A52469" w:rsidTr="00A52469">
        <w:tc>
          <w:tcPr>
            <w:tcW w:w="1002" w:type="dxa"/>
          </w:tcPr>
          <w:p w:rsidR="00A52469" w:rsidRDefault="00A52469" w:rsidP="00A52469">
            <w:pPr>
              <w:spacing w:line="276" w:lineRule="auto"/>
              <w:jc w:val="both"/>
              <w:rPr>
                <w:spacing w:val="-3"/>
              </w:rPr>
            </w:pPr>
            <w:r>
              <w:rPr>
                <w:spacing w:val="-3"/>
              </w:rPr>
              <w:t>7</w:t>
            </w:r>
          </w:p>
        </w:tc>
        <w:tc>
          <w:tcPr>
            <w:tcW w:w="1559" w:type="dxa"/>
          </w:tcPr>
          <w:p w:rsidR="00A52469" w:rsidRDefault="00A52469" w:rsidP="00A52469">
            <w:pPr>
              <w:spacing w:line="276" w:lineRule="auto"/>
              <w:jc w:val="both"/>
              <w:rPr>
                <w:spacing w:val="-3"/>
              </w:rPr>
            </w:pPr>
            <w:r w:rsidRPr="00A52469">
              <w:rPr>
                <w:spacing w:val="-3"/>
              </w:rPr>
              <w:t>344412.77</w:t>
            </w:r>
          </w:p>
        </w:tc>
        <w:tc>
          <w:tcPr>
            <w:tcW w:w="1843" w:type="dxa"/>
          </w:tcPr>
          <w:p w:rsidR="00A52469" w:rsidRDefault="00A52469" w:rsidP="00A52469">
            <w:pPr>
              <w:spacing w:line="276" w:lineRule="auto"/>
              <w:jc w:val="both"/>
              <w:rPr>
                <w:spacing w:val="-3"/>
              </w:rPr>
            </w:pPr>
            <w:r w:rsidRPr="00A52469">
              <w:rPr>
                <w:spacing w:val="-3"/>
              </w:rPr>
              <w:t>928947.44</w:t>
            </w:r>
          </w:p>
        </w:tc>
      </w:tr>
      <w:tr w:rsidR="00A52469" w:rsidTr="00A52469">
        <w:tc>
          <w:tcPr>
            <w:tcW w:w="1002" w:type="dxa"/>
          </w:tcPr>
          <w:p w:rsidR="00A52469" w:rsidRDefault="00A52469" w:rsidP="00A52469">
            <w:pPr>
              <w:spacing w:line="276" w:lineRule="auto"/>
              <w:jc w:val="both"/>
              <w:rPr>
                <w:spacing w:val="-3"/>
              </w:rPr>
            </w:pPr>
            <w:r>
              <w:rPr>
                <w:spacing w:val="-3"/>
              </w:rPr>
              <w:t>8</w:t>
            </w:r>
          </w:p>
        </w:tc>
        <w:tc>
          <w:tcPr>
            <w:tcW w:w="1559" w:type="dxa"/>
          </w:tcPr>
          <w:p w:rsidR="00A52469" w:rsidRDefault="00A52469" w:rsidP="00A52469">
            <w:pPr>
              <w:spacing w:line="276" w:lineRule="auto"/>
              <w:jc w:val="both"/>
              <w:rPr>
                <w:spacing w:val="-3"/>
              </w:rPr>
            </w:pPr>
            <w:r w:rsidRPr="00A52469">
              <w:rPr>
                <w:spacing w:val="-3"/>
              </w:rPr>
              <w:t>344428.95</w:t>
            </w:r>
          </w:p>
        </w:tc>
        <w:tc>
          <w:tcPr>
            <w:tcW w:w="1843" w:type="dxa"/>
          </w:tcPr>
          <w:p w:rsidR="00A52469" w:rsidRDefault="00A52469" w:rsidP="00A52469">
            <w:pPr>
              <w:spacing w:line="276" w:lineRule="auto"/>
              <w:jc w:val="both"/>
              <w:rPr>
                <w:spacing w:val="-3"/>
              </w:rPr>
            </w:pPr>
            <w:r w:rsidRPr="00A52469">
              <w:rPr>
                <w:spacing w:val="-3"/>
              </w:rPr>
              <w:t>928630.38</w:t>
            </w:r>
          </w:p>
        </w:tc>
      </w:tr>
    </w:tbl>
    <w:p w:rsidR="0019325D" w:rsidRPr="00460DB9" w:rsidRDefault="0019325D" w:rsidP="0019325D">
      <w:pPr>
        <w:spacing w:line="276" w:lineRule="auto"/>
        <w:jc w:val="both"/>
        <w:rPr>
          <w:spacing w:val="-3"/>
        </w:rPr>
      </w:pPr>
    </w:p>
    <w:p w:rsidR="0019325D" w:rsidRPr="00460DB9" w:rsidRDefault="0019325D" w:rsidP="0019325D">
      <w:pPr>
        <w:spacing w:line="276" w:lineRule="auto"/>
        <w:jc w:val="both"/>
        <w:rPr>
          <w:spacing w:val="-3"/>
        </w:rPr>
      </w:pPr>
    </w:p>
    <w:p w:rsidR="0019325D" w:rsidRPr="00460DB9" w:rsidRDefault="0019325D" w:rsidP="0019325D">
      <w:pPr>
        <w:spacing w:line="276" w:lineRule="auto"/>
        <w:jc w:val="both"/>
        <w:rPr>
          <w:color w:val="000000"/>
        </w:rPr>
      </w:pPr>
      <w:r w:rsidRPr="00460DB9">
        <w:rPr>
          <w:color w:val="000000"/>
        </w:rPr>
        <w:t xml:space="preserve">Mediante el </w:t>
      </w:r>
      <w:r w:rsidRPr="00460DB9">
        <w:rPr>
          <w:b/>
          <w:color w:val="000000"/>
        </w:rPr>
        <w:t xml:space="preserve">PROVEÍDO </w:t>
      </w:r>
      <w:r w:rsidR="00A52469">
        <w:rPr>
          <w:b/>
          <w:color w:val="000000"/>
        </w:rPr>
        <w:t>DRCH-ADM-068</w:t>
      </w:r>
      <w:r w:rsidRPr="00460DB9">
        <w:rPr>
          <w:b/>
          <w:color w:val="000000"/>
        </w:rPr>
        <w:t>-2019</w:t>
      </w:r>
      <w:r w:rsidRPr="00460DB9">
        <w:rPr>
          <w:color w:val="000000"/>
        </w:rPr>
        <w:t xml:space="preserve">, de </w:t>
      </w:r>
      <w:r w:rsidR="00A52469">
        <w:rPr>
          <w:color w:val="000000"/>
          <w:lang w:val="es-PA"/>
        </w:rPr>
        <w:t>10</w:t>
      </w:r>
      <w:r w:rsidRPr="00460DB9">
        <w:rPr>
          <w:color w:val="000000"/>
        </w:rPr>
        <w:t xml:space="preserve"> de julio de 2019, MiAMBIENTE admite a la fase de evaluación y análisis el Estudio de Impacto Ambiental, Categoría I, del proyecto denominado </w:t>
      </w:r>
      <w:r w:rsidRPr="00460DB9">
        <w:rPr>
          <w:b/>
          <w:bCs/>
        </w:rPr>
        <w:t>“</w:t>
      </w:r>
      <w:r w:rsidR="00A52469" w:rsidRPr="00A52469">
        <w:rPr>
          <w:b/>
          <w:bCs/>
        </w:rPr>
        <w:t>URBANIZACIÓN ALEXANDRA</w:t>
      </w:r>
      <w:r w:rsidRPr="00460DB9">
        <w:rPr>
          <w:b/>
        </w:rPr>
        <w:t>”</w:t>
      </w:r>
      <w:r w:rsidRPr="00460DB9">
        <w:rPr>
          <w:color w:val="000000"/>
        </w:rPr>
        <w:t>, en virtud de lo establecido para tales efectos en el Decreto Ejecutivo No. 123 de 14 de agosto de 2009, modificado por el Decreto Ejecutivo No. 155 de 5 de agosto de 2011</w:t>
      </w:r>
      <w:r w:rsidRPr="00460DB9">
        <w:t xml:space="preserve"> </w:t>
      </w:r>
      <w:r w:rsidRPr="00460DB9">
        <w:rPr>
          <w:color w:val="000000"/>
        </w:rPr>
        <w:t>Decreto Ejecutivo No. 36 del 03 de junio de 2019 y demás normas complementarias y concordantes.</w:t>
      </w:r>
    </w:p>
    <w:p w:rsidR="0019325D" w:rsidRPr="00702F3C" w:rsidRDefault="0019325D" w:rsidP="0019325D">
      <w:pPr>
        <w:pStyle w:val="Textoindependiente"/>
        <w:spacing w:before="240" w:line="360" w:lineRule="auto"/>
        <w:rPr>
          <w:color w:val="000000"/>
          <w:spacing w:val="0"/>
          <w:sz w:val="24"/>
          <w:szCs w:val="24"/>
        </w:rPr>
      </w:pPr>
      <w:r w:rsidRPr="001C506E">
        <w:rPr>
          <w:color w:val="000000"/>
          <w:spacing w:val="0"/>
          <w:sz w:val="24"/>
          <w:szCs w:val="24"/>
        </w:rPr>
        <w:t xml:space="preserve">Que como </w:t>
      </w:r>
      <w:r w:rsidRPr="00BC3D0E">
        <w:rPr>
          <w:color w:val="000000"/>
          <w:spacing w:val="0"/>
          <w:sz w:val="24"/>
          <w:szCs w:val="24"/>
        </w:rPr>
        <w:t>parte del proceso de evaluación, se verifico las coordenadas presentadas en el estudio de impacto ambiental en la Dirección de Evaluación y Ordenamiento Ambiental, en la cual dio como resultado el área apr</w:t>
      </w:r>
      <w:r w:rsidR="00BC3D0E" w:rsidRPr="00BC3D0E">
        <w:rPr>
          <w:color w:val="000000"/>
          <w:spacing w:val="0"/>
          <w:sz w:val="24"/>
          <w:szCs w:val="24"/>
        </w:rPr>
        <w:t>oximada del polígono es de 8 ha + 0909</w:t>
      </w:r>
      <w:r w:rsidRPr="00BC3D0E">
        <w:rPr>
          <w:color w:val="000000"/>
          <w:spacing w:val="0"/>
          <w:sz w:val="24"/>
          <w:szCs w:val="24"/>
        </w:rPr>
        <w:t xml:space="preserve"> m</w:t>
      </w:r>
      <w:r w:rsidRPr="00BC3D0E">
        <w:rPr>
          <w:color w:val="000000"/>
          <w:spacing w:val="0"/>
          <w:sz w:val="24"/>
          <w:szCs w:val="24"/>
          <w:vertAlign w:val="superscript"/>
        </w:rPr>
        <w:t>2</w:t>
      </w:r>
      <w:r w:rsidRPr="00BC3D0E">
        <w:rPr>
          <w:color w:val="000000"/>
          <w:spacing w:val="0"/>
          <w:sz w:val="24"/>
          <w:szCs w:val="24"/>
        </w:rPr>
        <w:t>.</w:t>
      </w:r>
    </w:p>
    <w:p w:rsidR="0019325D" w:rsidRPr="00460DB9" w:rsidRDefault="0019325D" w:rsidP="0019325D">
      <w:pPr>
        <w:tabs>
          <w:tab w:val="left" w:pos="-1890"/>
        </w:tabs>
        <w:autoSpaceDE w:val="0"/>
        <w:autoSpaceDN w:val="0"/>
        <w:adjustRightInd w:val="0"/>
        <w:spacing w:line="276" w:lineRule="auto"/>
        <w:jc w:val="both"/>
        <w:rPr>
          <w:b/>
        </w:rPr>
      </w:pPr>
    </w:p>
    <w:p w:rsidR="0019325D" w:rsidRPr="00460DB9" w:rsidRDefault="0019325D" w:rsidP="0019325D">
      <w:pPr>
        <w:tabs>
          <w:tab w:val="left" w:pos="-1890"/>
        </w:tabs>
        <w:autoSpaceDE w:val="0"/>
        <w:autoSpaceDN w:val="0"/>
        <w:adjustRightInd w:val="0"/>
        <w:spacing w:line="276" w:lineRule="auto"/>
        <w:jc w:val="both"/>
        <w:rPr>
          <w:b/>
        </w:rPr>
      </w:pPr>
    </w:p>
    <w:p w:rsidR="0019325D" w:rsidRPr="00460DB9" w:rsidRDefault="0019325D" w:rsidP="0019325D">
      <w:pPr>
        <w:numPr>
          <w:ilvl w:val="0"/>
          <w:numId w:val="1"/>
        </w:numPr>
        <w:tabs>
          <w:tab w:val="left" w:pos="-1890"/>
        </w:tabs>
        <w:autoSpaceDE w:val="0"/>
        <w:autoSpaceDN w:val="0"/>
        <w:adjustRightInd w:val="0"/>
        <w:spacing w:line="276" w:lineRule="auto"/>
        <w:ind w:left="360"/>
        <w:jc w:val="both"/>
        <w:rPr>
          <w:b/>
        </w:rPr>
      </w:pPr>
      <w:r w:rsidRPr="00460DB9">
        <w:rPr>
          <w:b/>
        </w:rPr>
        <w:t>ANÁLISIS TÉCNICO</w:t>
      </w:r>
    </w:p>
    <w:p w:rsidR="0019325D" w:rsidRPr="00460DB9" w:rsidRDefault="0019325D" w:rsidP="0019325D">
      <w:pPr>
        <w:spacing w:line="276" w:lineRule="auto"/>
        <w:jc w:val="both"/>
        <w:rPr>
          <w:highlight w:val="yellow"/>
        </w:rPr>
      </w:pPr>
    </w:p>
    <w:p w:rsidR="0019325D" w:rsidRPr="00460DB9" w:rsidRDefault="0019325D" w:rsidP="0019325D">
      <w:pPr>
        <w:spacing w:line="276" w:lineRule="auto"/>
        <w:jc w:val="both"/>
        <w:rPr>
          <w:color w:val="000000"/>
        </w:rPr>
      </w:pPr>
      <w:r w:rsidRPr="00460DB9">
        <w:t xml:space="preserve">Después de la revisión y análisis del EsIA y cada uno de sus componentes ambientales, así como su Plan de Manejo Ambiental, pasamos a revisar </w:t>
      </w:r>
      <w:r w:rsidRPr="00460DB9">
        <w:rPr>
          <w:color w:val="000000"/>
        </w:rPr>
        <w:t>algunos aspectos destacables en el proceso de evaluación del Estudio.</w:t>
      </w:r>
    </w:p>
    <w:p w:rsidR="0019325D" w:rsidRPr="00460DB9" w:rsidRDefault="0019325D" w:rsidP="0019325D">
      <w:pPr>
        <w:autoSpaceDE w:val="0"/>
        <w:autoSpaceDN w:val="0"/>
        <w:adjustRightInd w:val="0"/>
        <w:spacing w:line="276" w:lineRule="auto"/>
        <w:jc w:val="both"/>
        <w:rPr>
          <w:b/>
        </w:rPr>
      </w:pPr>
    </w:p>
    <w:p w:rsidR="0019325D" w:rsidRPr="00460DB9" w:rsidRDefault="0019325D" w:rsidP="0019325D">
      <w:pPr>
        <w:autoSpaceDE w:val="0"/>
        <w:autoSpaceDN w:val="0"/>
        <w:adjustRightInd w:val="0"/>
        <w:spacing w:line="276" w:lineRule="auto"/>
        <w:jc w:val="both"/>
        <w:rPr>
          <w:b/>
        </w:rPr>
      </w:pPr>
      <w:r w:rsidRPr="00460DB9">
        <w:rPr>
          <w:b/>
        </w:rPr>
        <w:t xml:space="preserve">Componente físico: </w:t>
      </w:r>
    </w:p>
    <w:p w:rsidR="0019325D" w:rsidRPr="00460DB9" w:rsidRDefault="0019325D" w:rsidP="0019325D">
      <w:pPr>
        <w:autoSpaceDE w:val="0"/>
        <w:autoSpaceDN w:val="0"/>
        <w:adjustRightInd w:val="0"/>
        <w:spacing w:line="276" w:lineRule="auto"/>
        <w:jc w:val="both"/>
        <w:rPr>
          <w:b/>
        </w:rPr>
      </w:pPr>
    </w:p>
    <w:p w:rsidR="0019325D" w:rsidRPr="00460DB9" w:rsidRDefault="0019325D" w:rsidP="0019325D">
      <w:pPr>
        <w:autoSpaceDE w:val="0"/>
        <w:autoSpaceDN w:val="0"/>
        <w:adjustRightInd w:val="0"/>
        <w:spacing w:line="276" w:lineRule="auto"/>
        <w:jc w:val="both"/>
      </w:pPr>
      <w:r w:rsidRPr="00460DB9">
        <w:t xml:space="preserve">El EsIA, presentado por la empresa promotora, describe lo siguiente, respecto al ambiente físico del área donde se desarrollara el proyecto: </w:t>
      </w:r>
    </w:p>
    <w:p w:rsidR="00DD7B05" w:rsidRPr="00DD7B05" w:rsidRDefault="00DD7B05" w:rsidP="0019325D">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DD7B05">
        <w:rPr>
          <w:rFonts w:ascii="Times New Roman" w:hAnsi="Times New Roman"/>
          <w:sz w:val="24"/>
          <w:szCs w:val="24"/>
          <w:lang w:val="es-ES"/>
        </w:rPr>
        <w:t xml:space="preserve">El suelo en el área proyecto es de tipo franco arcilloso, son suelos con altos contenidos de hierro. El suelo se presenta libre de piedras y sumamente plano. </w:t>
      </w:r>
    </w:p>
    <w:p w:rsidR="00DD7B05" w:rsidRDefault="00DD7B05" w:rsidP="0019325D">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DD7B05">
        <w:rPr>
          <w:rFonts w:ascii="Times New Roman" w:hAnsi="Times New Roman"/>
          <w:color w:val="000000"/>
          <w:sz w:val="24"/>
          <w:szCs w:val="24"/>
          <w:lang w:val="es-ES"/>
        </w:rPr>
        <w:t xml:space="preserve">El globo de terreno que se utilizará para el proyecto actualmente se encuentra bajo un uso agropecuario. Básicamente, el terreno presenta mangas (potreros) para a la alimentación del ganado vacuno. Es importante señalar, que el proyecto ha sido presentado y aprobado, en calidad de anteproyecto, bajo la norma de desarrollo urbano: RBS (Residencial Bono Solidario). </w:t>
      </w:r>
    </w:p>
    <w:p w:rsidR="00DD7B05" w:rsidRPr="00DD7B05" w:rsidRDefault="00DD7B05" w:rsidP="00DD7B05">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DD7B05">
        <w:rPr>
          <w:rFonts w:ascii="Times New Roman" w:hAnsi="Times New Roman"/>
          <w:color w:val="000000"/>
          <w:sz w:val="24"/>
          <w:szCs w:val="24"/>
          <w:lang w:val="es-ES"/>
        </w:rPr>
        <w:t>El globo de terreno (Finca 30195831) para la realización del proyecto</w:t>
      </w:r>
      <w:r>
        <w:rPr>
          <w:rFonts w:ascii="Times New Roman" w:hAnsi="Times New Roman"/>
          <w:color w:val="000000"/>
          <w:sz w:val="24"/>
          <w:szCs w:val="24"/>
          <w:lang w:val="es-ES"/>
        </w:rPr>
        <w:t xml:space="preserve"> </w:t>
      </w:r>
      <w:r w:rsidRPr="00DD7B05">
        <w:rPr>
          <w:rFonts w:ascii="Times New Roman" w:hAnsi="Times New Roman"/>
          <w:color w:val="000000"/>
          <w:sz w:val="24"/>
          <w:szCs w:val="24"/>
          <w:lang w:val="es-ES"/>
        </w:rPr>
        <w:t>presenta los siguientes linderos:</w:t>
      </w:r>
    </w:p>
    <w:p w:rsidR="00DD7B05" w:rsidRPr="00DD7B05" w:rsidRDefault="00DD7B05" w:rsidP="00DD7B05">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DD7B05">
        <w:rPr>
          <w:rFonts w:ascii="Times New Roman" w:hAnsi="Times New Roman"/>
          <w:color w:val="000000"/>
          <w:sz w:val="24"/>
          <w:szCs w:val="24"/>
          <w:lang w:val="es-ES"/>
        </w:rPr>
        <w:t>Norte: Resto libre de la Finca 30169968.</w:t>
      </w:r>
    </w:p>
    <w:p w:rsidR="00DD7B05" w:rsidRPr="00DD7B05" w:rsidRDefault="00DD7B05" w:rsidP="00DD7B05">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DD7B05">
        <w:rPr>
          <w:rFonts w:ascii="Times New Roman" w:hAnsi="Times New Roman"/>
          <w:color w:val="000000"/>
          <w:sz w:val="24"/>
          <w:szCs w:val="24"/>
          <w:lang w:val="es-ES"/>
        </w:rPr>
        <w:t>Sur: Resto libre de la Finca 30158845.</w:t>
      </w:r>
    </w:p>
    <w:p w:rsidR="00DD7B05" w:rsidRPr="00DD7B05" w:rsidRDefault="00DD7B05" w:rsidP="00DD7B05">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DD7B05">
        <w:rPr>
          <w:rFonts w:ascii="Times New Roman" w:hAnsi="Times New Roman"/>
          <w:color w:val="000000"/>
          <w:sz w:val="24"/>
          <w:szCs w:val="24"/>
          <w:lang w:val="es-ES"/>
        </w:rPr>
        <w:t>Este: Terrenos nacionales.</w:t>
      </w:r>
    </w:p>
    <w:p w:rsidR="00DD7B05" w:rsidRDefault="00DD7B05" w:rsidP="00DD7B05">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DD7B05">
        <w:rPr>
          <w:rFonts w:ascii="Times New Roman" w:hAnsi="Times New Roman"/>
          <w:color w:val="000000"/>
          <w:sz w:val="24"/>
          <w:szCs w:val="24"/>
          <w:lang w:val="es-ES"/>
        </w:rPr>
        <w:t xml:space="preserve">Oeste: Resto libre de la Finca 30158846. </w:t>
      </w:r>
    </w:p>
    <w:p w:rsidR="00DD7B05" w:rsidRDefault="00DD7B05" w:rsidP="0019325D">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DD7B05">
        <w:rPr>
          <w:rFonts w:ascii="Times New Roman" w:hAnsi="Times New Roman"/>
          <w:color w:val="000000"/>
          <w:sz w:val="24"/>
          <w:szCs w:val="24"/>
          <w:lang w:val="es-ES"/>
        </w:rPr>
        <w:t>El t</w:t>
      </w:r>
      <w:r>
        <w:rPr>
          <w:rFonts w:ascii="Times New Roman" w:hAnsi="Times New Roman"/>
          <w:color w:val="000000"/>
          <w:sz w:val="24"/>
          <w:szCs w:val="24"/>
          <w:lang w:val="es-ES"/>
        </w:rPr>
        <w:t>erreno es</w:t>
      </w:r>
      <w:r w:rsidRPr="00DD7B05">
        <w:rPr>
          <w:rFonts w:ascii="Times New Roman" w:hAnsi="Times New Roman"/>
          <w:color w:val="000000"/>
          <w:sz w:val="24"/>
          <w:szCs w:val="24"/>
          <w:lang w:val="es-ES"/>
        </w:rPr>
        <w:t xml:space="preserve"> levemente más alto hacia el Noreste (aprox. 36.40 msnm) descendiendo suavemente hacia el Sur (34.40 msnm). </w:t>
      </w:r>
    </w:p>
    <w:p w:rsidR="00DD7B05" w:rsidRPr="00DD7B05" w:rsidRDefault="00DD7B05" w:rsidP="0019325D">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DD7B05">
        <w:rPr>
          <w:rFonts w:ascii="Times New Roman" w:hAnsi="Times New Roman"/>
          <w:color w:val="000000"/>
          <w:sz w:val="24"/>
          <w:szCs w:val="24"/>
        </w:rPr>
        <w:t xml:space="preserve">En el sitio donde se desarrollará el proyecto no observó ningún cuerpo de agua permanente o estacional. </w:t>
      </w:r>
    </w:p>
    <w:p w:rsidR="0019325D" w:rsidRPr="00DD7B05" w:rsidRDefault="00DD7B05" w:rsidP="0019325D">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DD7B05">
        <w:rPr>
          <w:rFonts w:ascii="Times New Roman" w:hAnsi="Times New Roman"/>
          <w:color w:val="000000"/>
          <w:sz w:val="24"/>
          <w:szCs w:val="24"/>
        </w:rPr>
        <w:t>El terreno para el proyecto se ubica dentro de la cuenca del Río Chiriquí (Cuenca 108).</w:t>
      </w:r>
    </w:p>
    <w:p w:rsidR="00DD7B05" w:rsidRPr="00DD7B05" w:rsidRDefault="00DD7B05" w:rsidP="00DD7B05">
      <w:pPr>
        <w:pStyle w:val="Prrafodelista1"/>
        <w:autoSpaceDE w:val="0"/>
        <w:autoSpaceDN w:val="0"/>
        <w:adjustRightInd w:val="0"/>
        <w:jc w:val="both"/>
        <w:rPr>
          <w:rFonts w:ascii="Times New Roman" w:hAnsi="Times New Roman"/>
          <w:color w:val="000000"/>
          <w:sz w:val="24"/>
          <w:szCs w:val="24"/>
          <w:lang w:val="es-ES"/>
        </w:rPr>
      </w:pPr>
    </w:p>
    <w:p w:rsidR="0019325D" w:rsidRPr="00460DB9" w:rsidRDefault="0019325D" w:rsidP="0019325D">
      <w:pPr>
        <w:autoSpaceDE w:val="0"/>
        <w:autoSpaceDN w:val="0"/>
        <w:adjustRightInd w:val="0"/>
        <w:spacing w:line="276" w:lineRule="auto"/>
        <w:jc w:val="both"/>
        <w:rPr>
          <w:b/>
        </w:rPr>
      </w:pPr>
      <w:r w:rsidRPr="00460DB9">
        <w:rPr>
          <w:b/>
        </w:rPr>
        <w:t>Componente Biológico:</w:t>
      </w:r>
    </w:p>
    <w:p w:rsidR="0019325D" w:rsidRPr="00460DB9" w:rsidRDefault="0019325D" w:rsidP="0019325D">
      <w:pPr>
        <w:autoSpaceDE w:val="0"/>
        <w:autoSpaceDN w:val="0"/>
        <w:adjustRightInd w:val="0"/>
        <w:spacing w:line="276" w:lineRule="auto"/>
        <w:jc w:val="both"/>
      </w:pPr>
    </w:p>
    <w:p w:rsidR="0019325D" w:rsidRDefault="0019325D" w:rsidP="0019325D">
      <w:pPr>
        <w:autoSpaceDE w:val="0"/>
        <w:autoSpaceDN w:val="0"/>
        <w:adjustRightInd w:val="0"/>
        <w:jc w:val="both"/>
        <w:rPr>
          <w:rFonts w:eastAsiaTheme="minorHAnsi"/>
          <w:lang w:eastAsia="en-US"/>
        </w:rPr>
      </w:pPr>
      <w:r w:rsidRPr="00460DB9">
        <w:t xml:space="preserve">Según se describe en el EsIA, </w:t>
      </w:r>
      <w:r w:rsidR="00DD7B05" w:rsidRPr="00DD7B05">
        <w:rPr>
          <w:rFonts w:eastAsiaTheme="minorHAnsi"/>
          <w:lang w:eastAsia="en-US"/>
        </w:rPr>
        <w:t xml:space="preserve">La flora es escasa, estando representada básicamente por especies herbáceas, las cuales ocupan el 99% del terreno. Existe poca vegetación arbórea, los árboles </w:t>
      </w:r>
      <w:r w:rsidR="00DD7B05" w:rsidRPr="00DD7B05">
        <w:rPr>
          <w:rFonts w:eastAsiaTheme="minorHAnsi"/>
          <w:lang w:eastAsia="en-US"/>
        </w:rPr>
        <w:lastRenderedPageBreak/>
        <w:t>observados se encuentran alineados formando parte de las cerca vivas que delimitan el perímetro de la finca o las diferentes áreas de pastoreo (potreros) dentro de la misma finca.</w:t>
      </w:r>
    </w:p>
    <w:p w:rsidR="00DD7B05" w:rsidRDefault="00DD7B05" w:rsidP="0019325D">
      <w:pPr>
        <w:autoSpaceDE w:val="0"/>
        <w:autoSpaceDN w:val="0"/>
        <w:adjustRightInd w:val="0"/>
        <w:jc w:val="both"/>
        <w:rPr>
          <w:rFonts w:eastAsiaTheme="minorHAnsi"/>
          <w:lang w:eastAsia="en-US"/>
        </w:rPr>
      </w:pPr>
    </w:p>
    <w:p w:rsidR="00DD7B05" w:rsidRPr="00460DB9" w:rsidRDefault="00DD7B05" w:rsidP="0019325D">
      <w:pPr>
        <w:autoSpaceDE w:val="0"/>
        <w:autoSpaceDN w:val="0"/>
        <w:adjustRightInd w:val="0"/>
        <w:jc w:val="both"/>
        <w:rPr>
          <w:rFonts w:eastAsiaTheme="minorHAnsi"/>
          <w:b/>
          <w:iCs/>
          <w:lang w:val="es-PA" w:eastAsia="en-US"/>
        </w:rPr>
      </w:pPr>
      <w:r>
        <w:t>Entre las especies leñosas se encuentra: Palo Santo (</w:t>
      </w:r>
      <w:proofErr w:type="spellStart"/>
      <w:r w:rsidRPr="00DD7B05">
        <w:rPr>
          <w:i/>
        </w:rPr>
        <w:t>Erythrina</w:t>
      </w:r>
      <w:proofErr w:type="spellEnd"/>
      <w:r w:rsidRPr="00DD7B05">
        <w:rPr>
          <w:i/>
        </w:rPr>
        <w:t xml:space="preserve"> </w:t>
      </w:r>
      <w:proofErr w:type="spellStart"/>
      <w:r w:rsidRPr="00DD7B05">
        <w:rPr>
          <w:i/>
        </w:rPr>
        <w:t>chiriquensis</w:t>
      </w:r>
      <w:proofErr w:type="spellEnd"/>
      <w:r>
        <w:t>), Bala (</w:t>
      </w:r>
      <w:proofErr w:type="spellStart"/>
      <w:r w:rsidRPr="00DD7B05">
        <w:rPr>
          <w:i/>
        </w:rPr>
        <w:t>Gliricidia</w:t>
      </w:r>
      <w:proofErr w:type="spellEnd"/>
      <w:r w:rsidRPr="00DD7B05">
        <w:rPr>
          <w:i/>
        </w:rPr>
        <w:t xml:space="preserve"> </w:t>
      </w:r>
      <w:proofErr w:type="spellStart"/>
      <w:r w:rsidRPr="00DD7B05">
        <w:rPr>
          <w:i/>
        </w:rPr>
        <w:t>sepium</w:t>
      </w:r>
      <w:proofErr w:type="spellEnd"/>
      <w:r>
        <w:t>), Almácigo (</w:t>
      </w:r>
      <w:proofErr w:type="spellStart"/>
      <w:r w:rsidRPr="00DD7B05">
        <w:rPr>
          <w:i/>
        </w:rPr>
        <w:t>Bursera</w:t>
      </w:r>
      <w:proofErr w:type="spellEnd"/>
      <w:r w:rsidRPr="00DD7B05">
        <w:rPr>
          <w:i/>
        </w:rPr>
        <w:t xml:space="preserve"> simaruba</w:t>
      </w:r>
      <w:r>
        <w:t>). Cabe indicar que estas especies son periódicamente podadas, pues es una práctica normal en las fincas agropecuarias para aumentar la exposición a la luz solar en las áreas de cultivo.</w:t>
      </w:r>
    </w:p>
    <w:p w:rsidR="0019325D" w:rsidRPr="00675962" w:rsidRDefault="0019325D" w:rsidP="0019325D">
      <w:pPr>
        <w:autoSpaceDE w:val="0"/>
        <w:autoSpaceDN w:val="0"/>
        <w:adjustRightInd w:val="0"/>
        <w:spacing w:line="276" w:lineRule="auto"/>
        <w:jc w:val="both"/>
        <w:rPr>
          <w:rFonts w:eastAsiaTheme="minorHAnsi"/>
          <w:lang w:val="es-PA" w:eastAsia="en-US"/>
        </w:rPr>
      </w:pPr>
      <w:r w:rsidRPr="00460DB9">
        <w:rPr>
          <w:rFonts w:eastAsiaTheme="minorHAnsi"/>
          <w:lang w:val="es-PA" w:eastAsia="en-US"/>
        </w:rPr>
        <w:t>Según lo que describe el equipo</w:t>
      </w:r>
      <w:r w:rsidR="00675962">
        <w:rPr>
          <w:rFonts w:eastAsiaTheme="minorHAnsi"/>
          <w:lang w:val="es-PA" w:eastAsia="en-US"/>
        </w:rPr>
        <w:t xml:space="preserve"> consultor que elaboró el EsIA,</w:t>
      </w:r>
      <w:r w:rsidR="00675962" w:rsidRPr="00675962">
        <w:rPr>
          <w:rFonts w:eastAsiaTheme="minorHAnsi"/>
          <w:lang w:eastAsia="en-US"/>
        </w:rPr>
        <w:t xml:space="preserve"> la poca vegetación arbórea existente la fauna es igualmente escasa. En las visitas al área tan sólo se observaron algunas aves pequeñas; básicamente, son aves que se han adaptado al ecosistema agrícola, tales como: </w:t>
      </w:r>
      <w:proofErr w:type="spellStart"/>
      <w:r w:rsidR="00675962" w:rsidRPr="00675962">
        <w:rPr>
          <w:rFonts w:eastAsiaTheme="minorHAnsi"/>
          <w:lang w:eastAsia="en-US"/>
        </w:rPr>
        <w:t>Cascá</w:t>
      </w:r>
      <w:proofErr w:type="spellEnd"/>
      <w:r w:rsidR="00675962" w:rsidRPr="00675962">
        <w:rPr>
          <w:rFonts w:eastAsiaTheme="minorHAnsi"/>
          <w:lang w:eastAsia="en-US"/>
        </w:rPr>
        <w:t xml:space="preserve"> (</w:t>
      </w:r>
      <w:proofErr w:type="spellStart"/>
      <w:r w:rsidR="00675962" w:rsidRPr="00675962">
        <w:rPr>
          <w:rFonts w:eastAsiaTheme="minorHAnsi"/>
          <w:i/>
          <w:lang w:eastAsia="en-US"/>
        </w:rPr>
        <w:t>Turdus</w:t>
      </w:r>
      <w:proofErr w:type="spellEnd"/>
      <w:r w:rsidR="00675962" w:rsidRPr="00675962">
        <w:rPr>
          <w:rFonts w:eastAsiaTheme="minorHAnsi"/>
          <w:i/>
          <w:lang w:eastAsia="en-US"/>
        </w:rPr>
        <w:t xml:space="preserve"> </w:t>
      </w:r>
      <w:proofErr w:type="spellStart"/>
      <w:r w:rsidR="00675962" w:rsidRPr="00675962">
        <w:rPr>
          <w:rFonts w:eastAsiaTheme="minorHAnsi"/>
          <w:i/>
          <w:lang w:eastAsia="en-US"/>
        </w:rPr>
        <w:t>grayi</w:t>
      </w:r>
      <w:proofErr w:type="spellEnd"/>
      <w:r w:rsidR="00675962" w:rsidRPr="00675962">
        <w:rPr>
          <w:rFonts w:eastAsiaTheme="minorHAnsi"/>
          <w:i/>
          <w:lang w:eastAsia="en-US"/>
        </w:rPr>
        <w:t xml:space="preserve"> </w:t>
      </w:r>
      <w:proofErr w:type="spellStart"/>
      <w:r w:rsidR="00675962" w:rsidRPr="00675962">
        <w:rPr>
          <w:rFonts w:eastAsiaTheme="minorHAnsi"/>
          <w:i/>
          <w:lang w:eastAsia="en-US"/>
        </w:rPr>
        <w:t>casius</w:t>
      </w:r>
      <w:proofErr w:type="spellEnd"/>
      <w:r w:rsidR="00675962" w:rsidRPr="00675962">
        <w:rPr>
          <w:rFonts w:eastAsiaTheme="minorHAnsi"/>
          <w:lang w:eastAsia="en-US"/>
        </w:rPr>
        <w:t>), Garza Blanca (</w:t>
      </w:r>
      <w:proofErr w:type="spellStart"/>
      <w:r w:rsidR="00675962" w:rsidRPr="00675962">
        <w:rPr>
          <w:rFonts w:eastAsiaTheme="minorHAnsi"/>
          <w:i/>
          <w:lang w:eastAsia="en-US"/>
        </w:rPr>
        <w:t>Bubulcus</w:t>
      </w:r>
      <w:proofErr w:type="spellEnd"/>
      <w:r w:rsidR="00675962" w:rsidRPr="00675962">
        <w:rPr>
          <w:rFonts w:eastAsiaTheme="minorHAnsi"/>
          <w:i/>
          <w:lang w:eastAsia="en-US"/>
        </w:rPr>
        <w:t xml:space="preserve"> ibis</w:t>
      </w:r>
      <w:r w:rsidR="00675962" w:rsidRPr="00675962">
        <w:rPr>
          <w:rFonts w:eastAsiaTheme="minorHAnsi"/>
          <w:lang w:eastAsia="en-US"/>
        </w:rPr>
        <w:t>), Talingo (</w:t>
      </w:r>
      <w:proofErr w:type="spellStart"/>
      <w:r w:rsidR="00675962" w:rsidRPr="00675962">
        <w:rPr>
          <w:rFonts w:eastAsiaTheme="minorHAnsi"/>
          <w:i/>
          <w:lang w:eastAsia="en-US"/>
        </w:rPr>
        <w:t>Quiscalus</w:t>
      </w:r>
      <w:proofErr w:type="spellEnd"/>
      <w:r w:rsidR="00675962" w:rsidRPr="00675962">
        <w:rPr>
          <w:rFonts w:eastAsiaTheme="minorHAnsi"/>
          <w:i/>
          <w:lang w:eastAsia="en-US"/>
        </w:rPr>
        <w:t xml:space="preserve"> </w:t>
      </w:r>
      <w:proofErr w:type="spellStart"/>
      <w:r w:rsidR="00675962" w:rsidRPr="00675962">
        <w:rPr>
          <w:rFonts w:eastAsiaTheme="minorHAnsi"/>
          <w:i/>
          <w:lang w:eastAsia="en-US"/>
        </w:rPr>
        <w:t>mexicanus</w:t>
      </w:r>
      <w:proofErr w:type="spellEnd"/>
      <w:r w:rsidR="00675962" w:rsidRPr="00675962">
        <w:rPr>
          <w:rFonts w:eastAsiaTheme="minorHAnsi"/>
          <w:lang w:eastAsia="en-US"/>
        </w:rPr>
        <w:t xml:space="preserve">), Paloma </w:t>
      </w:r>
      <w:proofErr w:type="spellStart"/>
      <w:r w:rsidR="00675962" w:rsidRPr="00675962">
        <w:rPr>
          <w:rFonts w:eastAsiaTheme="minorHAnsi"/>
          <w:lang w:eastAsia="en-US"/>
        </w:rPr>
        <w:t>Rabiblanca</w:t>
      </w:r>
      <w:proofErr w:type="spellEnd"/>
      <w:r w:rsidR="00675962" w:rsidRPr="00675962">
        <w:rPr>
          <w:rFonts w:eastAsiaTheme="minorHAnsi"/>
          <w:lang w:eastAsia="en-US"/>
        </w:rPr>
        <w:t xml:space="preserve"> (</w:t>
      </w:r>
      <w:proofErr w:type="spellStart"/>
      <w:r w:rsidR="00675962" w:rsidRPr="00675962">
        <w:rPr>
          <w:rFonts w:eastAsiaTheme="minorHAnsi"/>
          <w:i/>
          <w:lang w:eastAsia="en-US"/>
        </w:rPr>
        <w:t>Leptotila</w:t>
      </w:r>
      <w:proofErr w:type="spellEnd"/>
      <w:r w:rsidR="00675962" w:rsidRPr="00675962">
        <w:rPr>
          <w:rFonts w:eastAsiaTheme="minorHAnsi"/>
          <w:i/>
          <w:lang w:eastAsia="en-US"/>
        </w:rPr>
        <w:t xml:space="preserve"> </w:t>
      </w:r>
      <w:proofErr w:type="spellStart"/>
      <w:r w:rsidR="00675962" w:rsidRPr="00675962">
        <w:rPr>
          <w:rFonts w:eastAsiaTheme="minorHAnsi"/>
          <w:i/>
          <w:lang w:eastAsia="en-US"/>
        </w:rPr>
        <w:t>verreauxi</w:t>
      </w:r>
      <w:proofErr w:type="spellEnd"/>
      <w:r w:rsidR="00675962" w:rsidRPr="00675962">
        <w:rPr>
          <w:rFonts w:eastAsiaTheme="minorHAnsi"/>
          <w:lang w:eastAsia="en-US"/>
        </w:rPr>
        <w:t xml:space="preserve">), Perico </w:t>
      </w:r>
      <w:proofErr w:type="spellStart"/>
      <w:r w:rsidR="00675962" w:rsidRPr="00675962">
        <w:rPr>
          <w:rFonts w:eastAsiaTheme="minorHAnsi"/>
          <w:lang w:eastAsia="en-US"/>
        </w:rPr>
        <w:t>Cabeciazul</w:t>
      </w:r>
      <w:proofErr w:type="spellEnd"/>
      <w:r w:rsidR="00675962" w:rsidRPr="00675962">
        <w:rPr>
          <w:rFonts w:eastAsiaTheme="minorHAnsi"/>
          <w:lang w:eastAsia="en-US"/>
        </w:rPr>
        <w:t xml:space="preserve"> o Casanga (</w:t>
      </w:r>
      <w:proofErr w:type="spellStart"/>
      <w:r w:rsidR="00675962" w:rsidRPr="00675962">
        <w:rPr>
          <w:rFonts w:eastAsiaTheme="minorHAnsi"/>
          <w:i/>
          <w:lang w:eastAsia="en-US"/>
        </w:rPr>
        <w:t>Pionus</w:t>
      </w:r>
      <w:proofErr w:type="spellEnd"/>
      <w:r w:rsidR="00675962" w:rsidRPr="00675962">
        <w:rPr>
          <w:rFonts w:eastAsiaTheme="minorHAnsi"/>
          <w:i/>
          <w:lang w:eastAsia="en-US"/>
        </w:rPr>
        <w:t xml:space="preserve"> </w:t>
      </w:r>
      <w:proofErr w:type="spellStart"/>
      <w:r w:rsidR="00675962" w:rsidRPr="00675962">
        <w:rPr>
          <w:rFonts w:eastAsiaTheme="minorHAnsi"/>
          <w:i/>
          <w:lang w:eastAsia="en-US"/>
        </w:rPr>
        <w:t>menstruus</w:t>
      </w:r>
      <w:proofErr w:type="spellEnd"/>
      <w:r w:rsidR="00675962" w:rsidRPr="00675962">
        <w:rPr>
          <w:rFonts w:eastAsiaTheme="minorHAnsi"/>
          <w:lang w:eastAsia="en-US"/>
        </w:rPr>
        <w:t xml:space="preserve">), Azulejo o </w:t>
      </w:r>
      <w:proofErr w:type="spellStart"/>
      <w:r w:rsidR="00675962" w:rsidRPr="00675962">
        <w:rPr>
          <w:rFonts w:eastAsiaTheme="minorHAnsi"/>
          <w:lang w:eastAsia="en-US"/>
        </w:rPr>
        <w:t>Tángara</w:t>
      </w:r>
      <w:proofErr w:type="spellEnd"/>
      <w:r w:rsidR="00675962" w:rsidRPr="00675962">
        <w:rPr>
          <w:rFonts w:eastAsiaTheme="minorHAnsi"/>
          <w:lang w:eastAsia="en-US"/>
        </w:rPr>
        <w:t xml:space="preserve"> Azuleja (</w:t>
      </w:r>
      <w:proofErr w:type="spellStart"/>
      <w:r w:rsidR="00675962" w:rsidRPr="00675962">
        <w:rPr>
          <w:rFonts w:eastAsiaTheme="minorHAnsi"/>
          <w:i/>
          <w:lang w:eastAsia="en-US"/>
        </w:rPr>
        <w:t>Thraupis</w:t>
      </w:r>
      <w:proofErr w:type="spellEnd"/>
      <w:r w:rsidR="00675962" w:rsidRPr="00675962">
        <w:rPr>
          <w:rFonts w:eastAsiaTheme="minorHAnsi"/>
          <w:i/>
          <w:lang w:eastAsia="en-US"/>
        </w:rPr>
        <w:t xml:space="preserve"> </w:t>
      </w:r>
      <w:proofErr w:type="spellStart"/>
      <w:r w:rsidR="00675962" w:rsidRPr="00675962">
        <w:rPr>
          <w:rFonts w:eastAsiaTheme="minorHAnsi"/>
          <w:i/>
          <w:lang w:eastAsia="en-US"/>
        </w:rPr>
        <w:t>episcopus</w:t>
      </w:r>
      <w:proofErr w:type="spellEnd"/>
      <w:r w:rsidR="00675962" w:rsidRPr="00675962">
        <w:rPr>
          <w:rFonts w:eastAsiaTheme="minorHAnsi"/>
          <w:i/>
          <w:lang w:eastAsia="en-US"/>
        </w:rPr>
        <w:t xml:space="preserve"> </w:t>
      </w:r>
      <w:proofErr w:type="spellStart"/>
      <w:r w:rsidR="00675962" w:rsidRPr="00675962">
        <w:rPr>
          <w:rFonts w:eastAsiaTheme="minorHAnsi"/>
          <w:i/>
          <w:lang w:eastAsia="en-US"/>
        </w:rPr>
        <w:t>cona</w:t>
      </w:r>
      <w:proofErr w:type="spellEnd"/>
      <w:r w:rsidR="00675962" w:rsidRPr="00675962">
        <w:rPr>
          <w:rFonts w:eastAsiaTheme="minorHAnsi"/>
          <w:lang w:eastAsia="en-US"/>
        </w:rPr>
        <w:t>), Bienteveo (</w:t>
      </w:r>
      <w:proofErr w:type="spellStart"/>
      <w:r w:rsidR="00675962" w:rsidRPr="00675962">
        <w:rPr>
          <w:rFonts w:eastAsiaTheme="minorHAnsi"/>
          <w:i/>
          <w:lang w:eastAsia="en-US"/>
        </w:rPr>
        <w:t>Pitangus</w:t>
      </w:r>
      <w:proofErr w:type="spellEnd"/>
      <w:r w:rsidR="00675962" w:rsidRPr="00675962">
        <w:rPr>
          <w:rFonts w:eastAsiaTheme="minorHAnsi"/>
          <w:i/>
          <w:lang w:eastAsia="en-US"/>
        </w:rPr>
        <w:t xml:space="preserve"> </w:t>
      </w:r>
      <w:proofErr w:type="spellStart"/>
      <w:r w:rsidR="00675962" w:rsidRPr="00675962">
        <w:rPr>
          <w:rFonts w:eastAsiaTheme="minorHAnsi"/>
          <w:i/>
          <w:lang w:eastAsia="en-US"/>
        </w:rPr>
        <w:t>sulphuratus</w:t>
      </w:r>
      <w:proofErr w:type="spellEnd"/>
      <w:r w:rsidR="00675962" w:rsidRPr="00675962">
        <w:rPr>
          <w:rFonts w:eastAsiaTheme="minorHAnsi"/>
          <w:lang w:eastAsia="en-US"/>
        </w:rPr>
        <w:t xml:space="preserve">) y </w:t>
      </w:r>
      <w:proofErr w:type="spellStart"/>
      <w:r w:rsidR="00675962" w:rsidRPr="00675962">
        <w:rPr>
          <w:rFonts w:eastAsiaTheme="minorHAnsi"/>
          <w:lang w:eastAsia="en-US"/>
        </w:rPr>
        <w:t>Pechiamarillo</w:t>
      </w:r>
      <w:proofErr w:type="spellEnd"/>
      <w:r w:rsidR="00675962" w:rsidRPr="00675962">
        <w:rPr>
          <w:rFonts w:eastAsiaTheme="minorHAnsi"/>
          <w:lang w:eastAsia="en-US"/>
        </w:rPr>
        <w:t xml:space="preserve"> (</w:t>
      </w:r>
      <w:proofErr w:type="spellStart"/>
      <w:r w:rsidR="00675962" w:rsidRPr="00675962">
        <w:rPr>
          <w:rFonts w:eastAsiaTheme="minorHAnsi"/>
          <w:i/>
          <w:lang w:eastAsia="en-US"/>
        </w:rPr>
        <w:t>Tyrannus</w:t>
      </w:r>
      <w:proofErr w:type="spellEnd"/>
      <w:r w:rsidR="00675962" w:rsidRPr="00675962">
        <w:rPr>
          <w:rFonts w:eastAsiaTheme="minorHAnsi"/>
          <w:i/>
          <w:lang w:eastAsia="en-US"/>
        </w:rPr>
        <w:t xml:space="preserve"> </w:t>
      </w:r>
      <w:proofErr w:type="spellStart"/>
      <w:r w:rsidR="00675962" w:rsidRPr="00675962">
        <w:rPr>
          <w:rFonts w:eastAsiaTheme="minorHAnsi"/>
          <w:i/>
          <w:lang w:eastAsia="en-US"/>
        </w:rPr>
        <w:t>melancholicus</w:t>
      </w:r>
      <w:proofErr w:type="spellEnd"/>
      <w:r w:rsidR="00675962" w:rsidRPr="00675962">
        <w:rPr>
          <w:rFonts w:eastAsiaTheme="minorHAnsi"/>
          <w:lang w:eastAsia="en-US"/>
        </w:rPr>
        <w:t>). Otros animales observados, pertenecientes al grupo de los reptiles, son: Moracho (</w:t>
      </w:r>
      <w:proofErr w:type="spellStart"/>
      <w:r w:rsidR="00675962" w:rsidRPr="00675962">
        <w:rPr>
          <w:rFonts w:eastAsiaTheme="minorHAnsi"/>
          <w:i/>
          <w:lang w:eastAsia="en-US"/>
        </w:rPr>
        <w:t>Basiliscus</w:t>
      </w:r>
      <w:proofErr w:type="spellEnd"/>
      <w:r w:rsidR="00675962" w:rsidRPr="00675962">
        <w:rPr>
          <w:rFonts w:eastAsiaTheme="minorHAnsi"/>
          <w:i/>
          <w:lang w:eastAsia="en-US"/>
        </w:rPr>
        <w:t xml:space="preserve"> </w:t>
      </w:r>
      <w:proofErr w:type="spellStart"/>
      <w:r w:rsidR="00675962" w:rsidRPr="00675962">
        <w:rPr>
          <w:rFonts w:eastAsiaTheme="minorHAnsi"/>
          <w:i/>
          <w:lang w:eastAsia="en-US"/>
        </w:rPr>
        <w:t>basiliscus</w:t>
      </w:r>
      <w:proofErr w:type="spellEnd"/>
      <w:r w:rsidR="00675962" w:rsidRPr="00675962">
        <w:rPr>
          <w:rFonts w:eastAsiaTheme="minorHAnsi"/>
          <w:lang w:eastAsia="en-US"/>
        </w:rPr>
        <w:t>), Camaleón (</w:t>
      </w:r>
      <w:r w:rsidR="00675962" w:rsidRPr="00675962">
        <w:rPr>
          <w:rFonts w:eastAsiaTheme="minorHAnsi"/>
          <w:i/>
          <w:lang w:eastAsia="en-US"/>
        </w:rPr>
        <w:t xml:space="preserve">Anolis </w:t>
      </w:r>
      <w:proofErr w:type="spellStart"/>
      <w:r w:rsidR="00675962" w:rsidRPr="00675962">
        <w:rPr>
          <w:rFonts w:eastAsiaTheme="minorHAnsi"/>
          <w:i/>
          <w:lang w:eastAsia="en-US"/>
        </w:rPr>
        <w:t>auratus</w:t>
      </w:r>
      <w:proofErr w:type="spellEnd"/>
      <w:r w:rsidR="00675962" w:rsidRPr="00675962">
        <w:rPr>
          <w:rFonts w:eastAsiaTheme="minorHAnsi"/>
          <w:lang w:eastAsia="en-US"/>
        </w:rPr>
        <w:t>).</w:t>
      </w:r>
    </w:p>
    <w:p w:rsidR="0019325D" w:rsidRPr="00460DB9" w:rsidRDefault="0019325D" w:rsidP="0019325D">
      <w:pPr>
        <w:autoSpaceDE w:val="0"/>
        <w:autoSpaceDN w:val="0"/>
        <w:adjustRightInd w:val="0"/>
        <w:spacing w:line="276" w:lineRule="auto"/>
        <w:jc w:val="both"/>
        <w:rPr>
          <w:b/>
        </w:rPr>
      </w:pPr>
    </w:p>
    <w:p w:rsidR="0019325D" w:rsidRPr="00460DB9" w:rsidRDefault="0019325D" w:rsidP="0019325D">
      <w:pPr>
        <w:autoSpaceDE w:val="0"/>
        <w:autoSpaceDN w:val="0"/>
        <w:adjustRightInd w:val="0"/>
        <w:spacing w:line="276" w:lineRule="auto"/>
        <w:jc w:val="both"/>
        <w:rPr>
          <w:b/>
        </w:rPr>
      </w:pPr>
    </w:p>
    <w:p w:rsidR="0019325D" w:rsidRPr="00460DB9" w:rsidRDefault="0019325D" w:rsidP="0019325D">
      <w:pPr>
        <w:autoSpaceDE w:val="0"/>
        <w:autoSpaceDN w:val="0"/>
        <w:adjustRightInd w:val="0"/>
        <w:spacing w:line="276" w:lineRule="auto"/>
        <w:jc w:val="both"/>
        <w:rPr>
          <w:b/>
        </w:rPr>
      </w:pPr>
      <w:r w:rsidRPr="00460DB9">
        <w:rPr>
          <w:b/>
        </w:rPr>
        <w:t xml:space="preserve">Componente Socioeconómico: </w:t>
      </w:r>
    </w:p>
    <w:p w:rsidR="0019325D" w:rsidRPr="00460DB9" w:rsidRDefault="0019325D" w:rsidP="0019325D">
      <w:pPr>
        <w:pStyle w:val="Default"/>
        <w:spacing w:line="276" w:lineRule="auto"/>
        <w:jc w:val="both"/>
        <w:rPr>
          <w:rFonts w:ascii="Times New Roman" w:hAnsi="Times New Roman" w:cs="Times New Roman"/>
        </w:rPr>
      </w:pPr>
      <w:r w:rsidRPr="00460DB9">
        <w:rPr>
          <w:rFonts w:ascii="Times New Roman" w:hAnsi="Times New Roman" w:cs="Times New Roman"/>
        </w:rPr>
        <w:t xml:space="preserve"> </w:t>
      </w:r>
    </w:p>
    <w:p w:rsidR="0019325D" w:rsidRPr="00460DB9" w:rsidRDefault="0019325D" w:rsidP="0019325D">
      <w:pPr>
        <w:pStyle w:val="Default"/>
        <w:spacing w:line="276" w:lineRule="auto"/>
        <w:jc w:val="both"/>
        <w:rPr>
          <w:rFonts w:ascii="Times New Roman" w:hAnsi="Times New Roman" w:cs="Times New Roman"/>
        </w:rPr>
      </w:pPr>
      <w:r w:rsidRPr="00460DB9">
        <w:rPr>
          <w:rFonts w:ascii="Times New Roman" w:hAnsi="Times New Roman" w:cs="Times New Roman"/>
        </w:rPr>
        <w:t>En el EsIA, se indica que la metodología utilizada para lograr la reacción ciudadana, con respecto al desarrollo del proyecto fueron las encuest</w:t>
      </w:r>
      <w:r w:rsidRPr="00167786">
        <w:rPr>
          <w:rFonts w:ascii="Times New Roman" w:hAnsi="Times New Roman" w:cs="Times New Roman"/>
        </w:rPr>
        <w:t>as, apl</w:t>
      </w:r>
      <w:r w:rsidR="00167786" w:rsidRPr="00167786">
        <w:rPr>
          <w:rFonts w:ascii="Times New Roman" w:hAnsi="Times New Roman" w:cs="Times New Roman"/>
        </w:rPr>
        <w:t>icando 15 encuestas,  el día 20</w:t>
      </w:r>
      <w:r w:rsidRPr="00167786">
        <w:rPr>
          <w:rFonts w:ascii="Times New Roman" w:hAnsi="Times New Roman" w:cs="Times New Roman"/>
        </w:rPr>
        <w:t xml:space="preserve"> de </w:t>
      </w:r>
      <w:r w:rsidR="00167786" w:rsidRPr="00167786">
        <w:rPr>
          <w:rFonts w:ascii="Times New Roman" w:hAnsi="Times New Roman" w:cs="Times New Roman"/>
          <w:lang w:val="es-PA"/>
        </w:rPr>
        <w:t>mayo</w:t>
      </w:r>
      <w:r w:rsidRPr="00167786">
        <w:rPr>
          <w:rFonts w:ascii="Times New Roman" w:hAnsi="Times New Roman" w:cs="Times New Roman"/>
        </w:rPr>
        <w:t xml:space="preserve"> de 2019, dando como resultado lo siguiente:</w:t>
      </w:r>
    </w:p>
    <w:p w:rsidR="0019325D" w:rsidRPr="00460DB9" w:rsidRDefault="0019325D" w:rsidP="0019325D">
      <w:pPr>
        <w:pStyle w:val="Default"/>
        <w:spacing w:line="276" w:lineRule="auto"/>
        <w:jc w:val="both"/>
        <w:rPr>
          <w:rFonts w:ascii="Times New Roman" w:hAnsi="Times New Roman" w:cs="Times New Roman"/>
        </w:rPr>
      </w:pPr>
    </w:p>
    <w:p w:rsidR="0019325D" w:rsidRPr="00675962" w:rsidRDefault="0019325D" w:rsidP="00675962">
      <w:pPr>
        <w:pStyle w:val="Prrafodelista"/>
        <w:numPr>
          <w:ilvl w:val="0"/>
          <w:numId w:val="5"/>
        </w:numPr>
        <w:spacing w:line="276" w:lineRule="auto"/>
        <w:jc w:val="both"/>
        <w:rPr>
          <w:color w:val="000000"/>
        </w:rPr>
      </w:pPr>
      <w:r w:rsidRPr="00460DB9">
        <w:rPr>
          <w:color w:val="000000"/>
        </w:rPr>
        <w:t xml:space="preserve">El </w:t>
      </w:r>
      <w:r w:rsidR="00675962" w:rsidRPr="00675962">
        <w:rPr>
          <w:color w:val="000000"/>
        </w:rPr>
        <w:t>100.0% de los encuestados considera que el</w:t>
      </w:r>
      <w:r w:rsidR="00675962">
        <w:rPr>
          <w:color w:val="000000"/>
        </w:rPr>
        <w:t xml:space="preserve"> </w:t>
      </w:r>
      <w:r w:rsidR="00675962" w:rsidRPr="00675962">
        <w:rPr>
          <w:color w:val="000000"/>
        </w:rPr>
        <w:t>proyecto es beneficioso para la sociedad</w:t>
      </w:r>
      <w:r w:rsidRPr="00675962">
        <w:rPr>
          <w:color w:val="000000"/>
        </w:rPr>
        <w:t>.</w:t>
      </w:r>
    </w:p>
    <w:p w:rsidR="0019325D" w:rsidRPr="00675962" w:rsidRDefault="0019325D" w:rsidP="00675962">
      <w:pPr>
        <w:pStyle w:val="Prrafodelista"/>
        <w:numPr>
          <w:ilvl w:val="0"/>
          <w:numId w:val="5"/>
        </w:numPr>
        <w:spacing w:line="276" w:lineRule="auto"/>
        <w:jc w:val="both"/>
        <w:rPr>
          <w:rFonts w:eastAsiaTheme="minorHAnsi"/>
          <w:lang w:val="es-PA" w:eastAsia="en-US"/>
        </w:rPr>
      </w:pPr>
      <w:r w:rsidRPr="00460DB9">
        <w:rPr>
          <w:rFonts w:eastAsiaTheme="minorHAnsi"/>
          <w:lang w:val="es-PA" w:eastAsia="en-US"/>
        </w:rPr>
        <w:t xml:space="preserve">El </w:t>
      </w:r>
      <w:r w:rsidR="00675962" w:rsidRPr="00675962">
        <w:rPr>
          <w:rFonts w:eastAsiaTheme="minorHAnsi"/>
          <w:lang w:val="es-PA" w:eastAsia="en-US"/>
        </w:rPr>
        <w:t>20.0% de los</w:t>
      </w:r>
      <w:r w:rsidR="00675962">
        <w:rPr>
          <w:rFonts w:eastAsiaTheme="minorHAnsi"/>
          <w:lang w:val="es-PA" w:eastAsia="en-US"/>
        </w:rPr>
        <w:t xml:space="preserve"> </w:t>
      </w:r>
      <w:r w:rsidR="00675962" w:rsidRPr="00675962">
        <w:rPr>
          <w:rFonts w:eastAsiaTheme="minorHAnsi"/>
          <w:lang w:val="es-PA" w:eastAsia="en-US"/>
        </w:rPr>
        <w:t>encuestados consideró que el proyecto traerá beneficios ligados a la creación de nuevas plazas de empleo</w:t>
      </w:r>
      <w:r w:rsidR="00675962">
        <w:rPr>
          <w:rFonts w:eastAsiaTheme="minorHAnsi"/>
          <w:lang w:val="es-PA" w:eastAsia="en-US"/>
        </w:rPr>
        <w:t>.</w:t>
      </w:r>
    </w:p>
    <w:p w:rsidR="0019325D" w:rsidRPr="00675962" w:rsidRDefault="0019325D" w:rsidP="00675962">
      <w:pPr>
        <w:pStyle w:val="Prrafodelista"/>
        <w:numPr>
          <w:ilvl w:val="0"/>
          <w:numId w:val="5"/>
        </w:numPr>
        <w:spacing w:line="276" w:lineRule="auto"/>
        <w:jc w:val="both"/>
        <w:rPr>
          <w:color w:val="000000"/>
        </w:rPr>
      </w:pPr>
      <w:r w:rsidRPr="00460DB9">
        <w:rPr>
          <w:color w:val="000000"/>
        </w:rPr>
        <w:t xml:space="preserve">El </w:t>
      </w:r>
      <w:r w:rsidR="00675962" w:rsidRPr="00675962">
        <w:rPr>
          <w:color w:val="000000"/>
        </w:rPr>
        <w:t>33.3% consideró el proyecto puede</w:t>
      </w:r>
      <w:r w:rsidR="00675962">
        <w:rPr>
          <w:color w:val="000000"/>
        </w:rPr>
        <w:t xml:space="preserve"> </w:t>
      </w:r>
      <w:r w:rsidR="00675962" w:rsidRPr="00675962">
        <w:rPr>
          <w:color w:val="000000"/>
        </w:rPr>
        <w:t>contribuir a mejorarla seguridad en el área</w:t>
      </w:r>
      <w:r w:rsidR="00675962">
        <w:rPr>
          <w:color w:val="000000"/>
        </w:rPr>
        <w:t>.</w:t>
      </w:r>
    </w:p>
    <w:p w:rsidR="0019325D" w:rsidRPr="00675962" w:rsidRDefault="0019325D" w:rsidP="00675962">
      <w:pPr>
        <w:pStyle w:val="Prrafodelista"/>
        <w:numPr>
          <w:ilvl w:val="0"/>
          <w:numId w:val="5"/>
        </w:numPr>
        <w:spacing w:line="276" w:lineRule="auto"/>
        <w:jc w:val="both"/>
        <w:rPr>
          <w:color w:val="000000"/>
        </w:rPr>
      </w:pPr>
      <w:r w:rsidRPr="00675962">
        <w:rPr>
          <w:color w:val="000000"/>
        </w:rPr>
        <w:t xml:space="preserve">El </w:t>
      </w:r>
      <w:r w:rsidR="00675962" w:rsidRPr="00675962">
        <w:rPr>
          <w:color w:val="000000"/>
        </w:rPr>
        <w:t>46.6% considera</w:t>
      </w:r>
      <w:r w:rsidR="00675962">
        <w:rPr>
          <w:color w:val="000000"/>
        </w:rPr>
        <w:t xml:space="preserve"> </w:t>
      </w:r>
      <w:r w:rsidR="00675962" w:rsidRPr="00675962">
        <w:rPr>
          <w:color w:val="000000"/>
        </w:rPr>
        <w:t>que la creación nuevas viviendas contribuirá a mejor el servicio de transporte</w:t>
      </w:r>
      <w:r w:rsidR="00675962">
        <w:rPr>
          <w:color w:val="000000"/>
        </w:rPr>
        <w:t>.</w:t>
      </w:r>
    </w:p>
    <w:p w:rsidR="0019325D" w:rsidRPr="00460DB9" w:rsidRDefault="0019325D" w:rsidP="0019325D">
      <w:pPr>
        <w:spacing w:line="276" w:lineRule="auto"/>
        <w:jc w:val="both"/>
        <w:rPr>
          <w:color w:val="000000"/>
        </w:rPr>
      </w:pPr>
      <w:r w:rsidRPr="00460DB9">
        <w:rPr>
          <w:color w:val="000000"/>
        </w:rPr>
        <w:t xml:space="preserve"> </w:t>
      </w:r>
    </w:p>
    <w:p w:rsidR="0019325D" w:rsidRPr="00460DB9" w:rsidRDefault="0019325D" w:rsidP="0019325D">
      <w:pPr>
        <w:tabs>
          <w:tab w:val="left" w:pos="0"/>
        </w:tabs>
        <w:suppressAutoHyphens/>
        <w:spacing w:line="276" w:lineRule="auto"/>
        <w:ind w:right="11"/>
        <w:jc w:val="both"/>
        <w:rPr>
          <w:rFonts w:eastAsia="SimSun"/>
          <w:color w:val="000000"/>
          <w:shd w:val="clear" w:color="auto" w:fill="FFFFFF"/>
        </w:rPr>
      </w:pPr>
      <w:r w:rsidRPr="00460DB9">
        <w:rPr>
          <w:rFonts w:eastAsia="SimSun"/>
          <w:color w:val="000000"/>
          <w:shd w:val="clear" w:color="auto" w:fill="FFFFFF"/>
        </w:rPr>
        <w:t>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19325D" w:rsidRPr="00460DB9" w:rsidRDefault="0019325D" w:rsidP="0019325D">
      <w:pPr>
        <w:tabs>
          <w:tab w:val="left" w:pos="0"/>
        </w:tabs>
        <w:suppressAutoHyphens/>
        <w:spacing w:line="276" w:lineRule="auto"/>
        <w:ind w:right="11"/>
        <w:jc w:val="both"/>
        <w:rPr>
          <w:spacing w:val="-3"/>
        </w:rPr>
      </w:pPr>
    </w:p>
    <w:p w:rsidR="0019325D" w:rsidRPr="00460DB9" w:rsidRDefault="0019325D" w:rsidP="0019325D">
      <w:pPr>
        <w:tabs>
          <w:tab w:val="left" w:pos="0"/>
        </w:tabs>
        <w:suppressAutoHyphens/>
        <w:spacing w:line="276" w:lineRule="auto"/>
        <w:ind w:right="11"/>
        <w:jc w:val="both"/>
        <w:rPr>
          <w:spacing w:val="-3"/>
        </w:rPr>
      </w:pPr>
      <w:r w:rsidRPr="00460DB9">
        <w:rPr>
          <w:spacing w:val="-3"/>
        </w:rPr>
        <w:t>En adición a las normativas ap</w:t>
      </w:r>
      <w:r w:rsidR="00675962">
        <w:rPr>
          <w:spacing w:val="-3"/>
        </w:rPr>
        <w:t>licables al proyecto (páginas 17 a la 19</w:t>
      </w:r>
      <w:r w:rsidRPr="00460DB9">
        <w:rPr>
          <w:spacing w:val="-3"/>
        </w:rPr>
        <w:t xml:space="preserve"> del EsIA) y los compromisos contemplados en el mismo y el promotor tendrá que:</w:t>
      </w:r>
    </w:p>
    <w:p w:rsidR="0019325D" w:rsidRPr="00460DB9" w:rsidRDefault="006F0FEF" w:rsidP="0019325D">
      <w:pPr>
        <w:tabs>
          <w:tab w:val="left" w:pos="0"/>
        </w:tabs>
        <w:suppressAutoHyphens/>
        <w:spacing w:line="276" w:lineRule="auto"/>
        <w:ind w:right="11"/>
        <w:jc w:val="both"/>
        <w:rPr>
          <w:spacing w:val="-3"/>
        </w:rPr>
      </w:pPr>
      <w:r>
        <w:rPr>
          <w:spacing w:val="-3"/>
        </w:rPr>
        <w:t xml:space="preserve">  </w:t>
      </w:r>
      <w:bookmarkStart w:id="0" w:name="_GoBack"/>
      <w:bookmarkEnd w:id="0"/>
    </w:p>
    <w:p w:rsidR="0019325D" w:rsidRPr="00C3620D" w:rsidRDefault="0019325D" w:rsidP="0019325D">
      <w:pPr>
        <w:pStyle w:val="Prrafodelista"/>
        <w:numPr>
          <w:ilvl w:val="0"/>
          <w:numId w:val="2"/>
        </w:numPr>
        <w:jc w:val="both"/>
      </w:pPr>
      <w:r w:rsidRPr="00C3620D">
        <w:t xml:space="preserve">Colocar, dentro del área del  Proyecto y antes de iniciar su ejecución, un letrero en un  lugar visible con el contenido establecido en formato adjunto. </w:t>
      </w:r>
    </w:p>
    <w:p w:rsidR="0019325D" w:rsidRPr="00C3620D" w:rsidRDefault="0019325D" w:rsidP="0019325D">
      <w:pPr>
        <w:pStyle w:val="Prrafodelista"/>
        <w:numPr>
          <w:ilvl w:val="0"/>
          <w:numId w:val="2"/>
        </w:numPr>
        <w:jc w:val="both"/>
      </w:pPr>
      <w:r w:rsidRPr="00C3620D">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19325D" w:rsidRPr="00C3620D" w:rsidRDefault="0019325D" w:rsidP="0019325D">
      <w:pPr>
        <w:numPr>
          <w:ilvl w:val="0"/>
          <w:numId w:val="2"/>
        </w:numPr>
        <w:tabs>
          <w:tab w:val="left" w:pos="0"/>
        </w:tabs>
        <w:suppressAutoHyphens/>
        <w:spacing w:line="276" w:lineRule="auto"/>
        <w:ind w:right="11"/>
        <w:jc w:val="both"/>
      </w:pPr>
      <w:r w:rsidRPr="00C3620D">
        <w:t>Notificar a la Dirección Regional de Chiriquí, de darse la presencia de alguna especie de fauna, la reubicación realizada de la misma, al costo del promotor e incluir dichos resultados en el correspondiente Informe de Seguimiento.</w:t>
      </w:r>
    </w:p>
    <w:p w:rsidR="0019325D" w:rsidRPr="00C3620D" w:rsidRDefault="0019325D" w:rsidP="0019325D">
      <w:pPr>
        <w:pStyle w:val="Prrafodelista1"/>
        <w:numPr>
          <w:ilvl w:val="0"/>
          <w:numId w:val="2"/>
        </w:numPr>
        <w:ind w:left="714" w:hanging="357"/>
        <w:jc w:val="both"/>
        <w:rPr>
          <w:rFonts w:ascii="Times New Roman" w:eastAsia="Times New Roman" w:hAnsi="Times New Roman"/>
          <w:sz w:val="24"/>
          <w:szCs w:val="24"/>
          <w:lang w:val="es-ES" w:eastAsia="es-ES"/>
        </w:rPr>
      </w:pPr>
      <w:r w:rsidRPr="00C3620D">
        <w:rPr>
          <w:rFonts w:ascii="Times New Roman" w:hAnsi="Times New Roman"/>
          <w:sz w:val="24"/>
          <w:szCs w:val="24"/>
        </w:rPr>
        <w:t xml:space="preserve">Presentar mediante la plataforma PREFASIA del Ministerio de Ambiente, </w:t>
      </w:r>
      <w:r w:rsidRPr="00C3620D">
        <w:rPr>
          <w:rFonts w:ascii="Times New Roman" w:eastAsia="Times New Roman" w:hAnsi="Times New Roman"/>
          <w:sz w:val="24"/>
          <w:szCs w:val="24"/>
          <w:lang w:val="es-ES" w:eastAsia="es-ES"/>
        </w:rPr>
        <w:t>cada (3) meses en la etapa de construcción; contados a partir de la notificación de la presente resolución administrativa, un (1) informe sobre la implementación de las medidas aprobadas, en un (1) ejemplar original impreso y tres (3) copias en formato digital (Cd). Este informe deberá ser elaborado por un profesional idóneo e independiente del promotor del Proyecto.</w:t>
      </w:r>
    </w:p>
    <w:p w:rsidR="0019325D" w:rsidRPr="00C3620D" w:rsidRDefault="0019325D" w:rsidP="0019325D">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C3620D">
        <w:rPr>
          <w:rFonts w:ascii="Times New Roman" w:hAnsi="Times New Roman"/>
          <w:sz w:val="24"/>
          <w:szCs w:val="24"/>
          <w:lang w:val="es-ES"/>
        </w:rPr>
        <w:t>Disponer en sitios autorizados los desechos sólidos y líquidos generados durante la etapa de construcción y operación.</w:t>
      </w:r>
    </w:p>
    <w:p w:rsidR="0019325D" w:rsidRPr="00C3620D" w:rsidRDefault="0019325D" w:rsidP="0019325D">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C3620D">
        <w:rPr>
          <w:rStyle w:val="nfasis"/>
          <w:rFonts w:ascii="Times New Roman" w:hAnsi="Times New Roman"/>
          <w:i w:val="0"/>
          <w:sz w:val="24"/>
          <w:szCs w:val="24"/>
        </w:rPr>
        <w:lastRenderedPageBreak/>
        <w:t>Reportar de inmediato al Instituto Nacional de Cultura, INAC, el hallazgo de cualquier objeto de valor histórico o arqueológico para realizar el respectivo rescate.</w:t>
      </w:r>
    </w:p>
    <w:p w:rsidR="0019325D" w:rsidRPr="00C3620D" w:rsidRDefault="0019325D" w:rsidP="0019325D">
      <w:pPr>
        <w:pStyle w:val="Prrafodelista"/>
        <w:numPr>
          <w:ilvl w:val="0"/>
          <w:numId w:val="2"/>
        </w:numPr>
        <w:tabs>
          <w:tab w:val="left" w:pos="0"/>
        </w:tabs>
        <w:suppressAutoHyphens/>
        <w:ind w:right="11"/>
        <w:jc w:val="both"/>
      </w:pPr>
      <w:r w:rsidRPr="00C3620D">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19325D" w:rsidRPr="00C3620D" w:rsidRDefault="0019325D" w:rsidP="0019325D">
      <w:pPr>
        <w:pStyle w:val="Prrafodelista"/>
        <w:numPr>
          <w:ilvl w:val="0"/>
          <w:numId w:val="2"/>
        </w:numPr>
      </w:pPr>
      <w:r w:rsidRPr="00C3620D">
        <w:t>Cumplir con el Reglamento DGNTI-COPANIT 35-2019 Medio Ambiente y Protección de la Salud. Seguridad. Calidad del Agua. Descarga de Efluentes Líquidos a Cuerpos y Masas de Aguas Continentales y Marinas.</w:t>
      </w:r>
    </w:p>
    <w:p w:rsidR="0019325D" w:rsidRPr="00C3620D" w:rsidRDefault="0019325D" w:rsidP="0019325D">
      <w:pPr>
        <w:pStyle w:val="Prrafodelista"/>
        <w:numPr>
          <w:ilvl w:val="0"/>
          <w:numId w:val="2"/>
        </w:numPr>
        <w:tabs>
          <w:tab w:val="left" w:pos="0"/>
        </w:tabs>
        <w:suppressAutoHyphens/>
        <w:ind w:right="11"/>
        <w:jc w:val="both"/>
      </w:pPr>
      <w:r w:rsidRPr="00C3620D">
        <w:t xml:space="preserve">Cumplir con el reglamento DGNTI-COPANIT-44-2000 “Higiene y seguridad en ambientes de trabajo donde se generen ruidos”. </w:t>
      </w:r>
    </w:p>
    <w:p w:rsidR="00C3620D" w:rsidRPr="00C3620D" w:rsidRDefault="00C3620D" w:rsidP="00C3620D">
      <w:pPr>
        <w:pStyle w:val="Prrafodelista"/>
        <w:numPr>
          <w:ilvl w:val="0"/>
          <w:numId w:val="2"/>
        </w:numPr>
        <w:tabs>
          <w:tab w:val="left" w:pos="0"/>
        </w:tabs>
        <w:suppressAutoHyphens/>
        <w:ind w:right="11"/>
        <w:jc w:val="both"/>
      </w:pPr>
      <w:r w:rsidRPr="00C3620D">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C3620D" w:rsidRPr="00C3620D" w:rsidRDefault="00C3620D" w:rsidP="00C3620D">
      <w:pPr>
        <w:pStyle w:val="Prrafodelista"/>
        <w:numPr>
          <w:ilvl w:val="0"/>
          <w:numId w:val="2"/>
        </w:numPr>
        <w:tabs>
          <w:tab w:val="left" w:pos="0"/>
        </w:tabs>
        <w:suppressAutoHyphens/>
        <w:ind w:right="11"/>
        <w:jc w:val="both"/>
      </w:pPr>
      <w:r w:rsidRPr="00C3620D">
        <w:t>Cumplir con la Ley N° 6, de 11 de enero de 2007. “Manejo de residuos aceitosos derivados de hidrocarburos o de base sintética en el territorio nacional”.</w:t>
      </w:r>
    </w:p>
    <w:p w:rsidR="0019325D" w:rsidRPr="00C3620D" w:rsidRDefault="0019325D" w:rsidP="0019325D">
      <w:pPr>
        <w:pStyle w:val="Prrafodelista"/>
        <w:numPr>
          <w:ilvl w:val="0"/>
          <w:numId w:val="2"/>
        </w:numPr>
        <w:tabs>
          <w:tab w:val="left" w:pos="0"/>
        </w:tabs>
        <w:suppressAutoHyphens/>
        <w:ind w:right="11"/>
        <w:jc w:val="both"/>
      </w:pPr>
      <w:r w:rsidRPr="00C3620D">
        <w:rPr>
          <w:lang w:val="es-PA"/>
        </w:rPr>
        <w:t>Cumplir con el Decreto Ejecutivo No. 2 de 14 de enero de 2009, “Por el cual se establece la Norma Ambiental de Calidad de Suelos para diversos usos”.</w:t>
      </w:r>
    </w:p>
    <w:p w:rsidR="0019325D" w:rsidRPr="00C3620D" w:rsidRDefault="0019325D" w:rsidP="0019325D">
      <w:pPr>
        <w:pStyle w:val="Prrafodelista"/>
        <w:numPr>
          <w:ilvl w:val="0"/>
          <w:numId w:val="2"/>
        </w:numPr>
        <w:tabs>
          <w:tab w:val="left" w:pos="0"/>
        </w:tabs>
        <w:suppressAutoHyphens/>
        <w:ind w:right="11"/>
        <w:jc w:val="both"/>
      </w:pPr>
      <w:r w:rsidRPr="00C3620D">
        <w:rPr>
          <w:lang w:val="es-PA"/>
        </w:rPr>
        <w:t>El promotor deberá velar por que se cumplan las leyes de la Autoridad de Tránsito y Transporte Terrestre (ATTT) para el transporte de material y la velocidad permitida en poblados y centros educativos.</w:t>
      </w:r>
      <w:r w:rsidRPr="00C3620D">
        <w:rPr>
          <w:rFonts w:eastAsiaTheme="minorHAnsi"/>
          <w:lang w:val="es-PA" w:eastAsia="en-US"/>
        </w:rPr>
        <w:t xml:space="preserve"> </w:t>
      </w:r>
    </w:p>
    <w:p w:rsidR="0019325D" w:rsidRPr="00C3620D" w:rsidRDefault="0019325D" w:rsidP="0019325D">
      <w:pPr>
        <w:pStyle w:val="Prrafodelista"/>
        <w:numPr>
          <w:ilvl w:val="0"/>
          <w:numId w:val="2"/>
        </w:numPr>
        <w:tabs>
          <w:tab w:val="left" w:pos="0"/>
        </w:tabs>
        <w:suppressAutoHyphens/>
        <w:ind w:right="11"/>
        <w:jc w:val="both"/>
      </w:pPr>
      <w:r w:rsidRPr="00C3620D">
        <w:t>Tomar las medidas necesarias para evitar partículas en suspensión.</w:t>
      </w:r>
      <w:r w:rsidRPr="00C3620D">
        <w:rPr>
          <w:lang w:val="es-PA"/>
        </w:rPr>
        <w:t xml:space="preserve"> </w:t>
      </w:r>
    </w:p>
    <w:p w:rsidR="0019325D" w:rsidRPr="00C3620D" w:rsidRDefault="0019325D" w:rsidP="0019325D">
      <w:pPr>
        <w:pStyle w:val="Prrafodelista"/>
        <w:numPr>
          <w:ilvl w:val="0"/>
          <w:numId w:val="2"/>
        </w:numPr>
        <w:tabs>
          <w:tab w:val="left" w:pos="0"/>
        </w:tabs>
        <w:suppressAutoHyphens/>
        <w:ind w:right="11"/>
        <w:jc w:val="both"/>
      </w:pPr>
      <w:r w:rsidRPr="00C3620D">
        <w:rPr>
          <w:lang w:val="es-PA"/>
        </w:rPr>
        <w:t>Cumplir con el Decreto Ejecutivo N° 306 de 4 de septiembre de 2002. “Control de ruidos en espacios públicos, áreas residenciales o de habitación, así como en ambientes laborales”.</w:t>
      </w:r>
    </w:p>
    <w:p w:rsidR="0019325D" w:rsidRPr="00C3620D" w:rsidRDefault="0019325D" w:rsidP="0019325D">
      <w:pPr>
        <w:pStyle w:val="Prrafodelista"/>
        <w:numPr>
          <w:ilvl w:val="0"/>
          <w:numId w:val="2"/>
        </w:numPr>
        <w:spacing w:after="200" w:line="276" w:lineRule="auto"/>
        <w:jc w:val="both"/>
      </w:pPr>
      <w:r w:rsidRPr="00C3620D">
        <w:rPr>
          <w:lang w:val="es-ES_tradnl"/>
        </w:rPr>
        <w:t>Coordinar antes de inicio de la obra, con la autoridad competente, todo lo concerniente al transporte  de equipo hacia y desde los terrenos donde se realizará el proyecto, velando por el cuidado de las calles de acceso.</w:t>
      </w:r>
    </w:p>
    <w:p w:rsidR="0019325D" w:rsidRPr="00C3620D" w:rsidRDefault="0019325D" w:rsidP="0019325D">
      <w:pPr>
        <w:pStyle w:val="Prrafodelista"/>
        <w:numPr>
          <w:ilvl w:val="0"/>
          <w:numId w:val="2"/>
        </w:numPr>
        <w:spacing w:after="200" w:line="276" w:lineRule="auto"/>
        <w:jc w:val="both"/>
      </w:pPr>
      <w:r w:rsidRPr="00C3620D">
        <w:t>Cualquier conflicto que se presente, en lo que respecta a la población afectada por el desarrollo del proyecto, el promotor actuará siempre mostrando su mejor disposición a conciliar con las partes actuando de buena fe.</w:t>
      </w:r>
    </w:p>
    <w:p w:rsidR="0019325D" w:rsidRPr="00675962" w:rsidRDefault="0019325D" w:rsidP="0019325D">
      <w:pPr>
        <w:tabs>
          <w:tab w:val="left" w:pos="0"/>
        </w:tabs>
        <w:suppressAutoHyphens/>
        <w:spacing w:line="276" w:lineRule="auto"/>
        <w:jc w:val="both"/>
        <w:rPr>
          <w:highlight w:val="yellow"/>
        </w:rPr>
      </w:pPr>
    </w:p>
    <w:p w:rsidR="0019325D" w:rsidRPr="00460DB9" w:rsidRDefault="0019325D" w:rsidP="0019325D">
      <w:pPr>
        <w:numPr>
          <w:ilvl w:val="0"/>
          <w:numId w:val="1"/>
        </w:numPr>
        <w:tabs>
          <w:tab w:val="left" w:pos="-1890"/>
        </w:tabs>
        <w:autoSpaceDE w:val="0"/>
        <w:autoSpaceDN w:val="0"/>
        <w:adjustRightInd w:val="0"/>
        <w:spacing w:line="276" w:lineRule="auto"/>
        <w:ind w:left="360"/>
        <w:jc w:val="both"/>
        <w:rPr>
          <w:b/>
        </w:rPr>
      </w:pPr>
      <w:r w:rsidRPr="00460DB9">
        <w:rPr>
          <w:b/>
        </w:rPr>
        <w:t>CONCLUSIONES</w:t>
      </w:r>
    </w:p>
    <w:p w:rsidR="0019325D" w:rsidRPr="00460DB9" w:rsidRDefault="0019325D" w:rsidP="0019325D">
      <w:pPr>
        <w:tabs>
          <w:tab w:val="left" w:pos="-1890"/>
        </w:tabs>
        <w:autoSpaceDE w:val="0"/>
        <w:autoSpaceDN w:val="0"/>
        <w:adjustRightInd w:val="0"/>
        <w:spacing w:line="276" w:lineRule="auto"/>
        <w:ind w:left="360"/>
        <w:jc w:val="both"/>
        <w:rPr>
          <w:b/>
        </w:rPr>
      </w:pPr>
    </w:p>
    <w:p w:rsidR="0019325D" w:rsidRPr="00460DB9" w:rsidRDefault="0019325D" w:rsidP="0019325D">
      <w:pPr>
        <w:spacing w:beforeLines="20" w:before="48" w:afterLines="20" w:after="48" w:line="276" w:lineRule="auto"/>
        <w:jc w:val="both"/>
        <w:rPr>
          <w:color w:val="000000"/>
        </w:rPr>
      </w:pPr>
      <w:r w:rsidRPr="00460DB9">
        <w:rPr>
          <w:color w:val="000000"/>
        </w:rPr>
        <w:t>Una vez  revisado el Estudio de Impacto Ambiental y la Declaración Jurada adjunta, se concluye lo siguiente:</w:t>
      </w:r>
    </w:p>
    <w:p w:rsidR="0019325D" w:rsidRPr="00460DB9" w:rsidRDefault="0019325D" w:rsidP="0019325D">
      <w:pPr>
        <w:numPr>
          <w:ilvl w:val="0"/>
          <w:numId w:val="3"/>
        </w:numPr>
        <w:shd w:val="clear" w:color="auto" w:fill="FFFFFF"/>
        <w:spacing w:beforeLines="20" w:before="48" w:afterLines="20" w:after="48" w:line="276" w:lineRule="auto"/>
        <w:jc w:val="both"/>
      </w:pPr>
      <w:r w:rsidRPr="00460DB9">
        <w:t xml:space="preserve">El Estudio de Impacto Ambiental </w:t>
      </w:r>
      <w:r w:rsidRPr="00460DB9">
        <w:rPr>
          <w:color w:val="000000"/>
        </w:rPr>
        <w:t xml:space="preserve">cumple con los requisitos mínimos establecidos en el </w:t>
      </w:r>
      <w:r w:rsidRPr="00460DB9">
        <w:rPr>
          <w:bCs/>
        </w:rPr>
        <w:t xml:space="preserve">artículo 26 del </w:t>
      </w:r>
      <w:r w:rsidRPr="00460DB9">
        <w:rPr>
          <w:color w:val="000000"/>
        </w:rPr>
        <w:t>Decreto Ejecutivo No.123 de 14 de agosto de 2009.</w:t>
      </w:r>
    </w:p>
    <w:p w:rsidR="0019325D" w:rsidRPr="00460DB9" w:rsidRDefault="0019325D" w:rsidP="0019325D">
      <w:pPr>
        <w:numPr>
          <w:ilvl w:val="0"/>
          <w:numId w:val="3"/>
        </w:numPr>
        <w:tabs>
          <w:tab w:val="left" w:pos="0"/>
          <w:tab w:val="left" w:pos="720"/>
        </w:tabs>
        <w:suppressAutoHyphens/>
        <w:spacing w:line="276" w:lineRule="auto"/>
        <w:jc w:val="both"/>
      </w:pPr>
      <w:r w:rsidRPr="00460DB9">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19325D" w:rsidRPr="00460DB9" w:rsidRDefault="0019325D" w:rsidP="0019325D">
      <w:pPr>
        <w:tabs>
          <w:tab w:val="left" w:pos="0"/>
          <w:tab w:val="left" w:pos="720"/>
        </w:tabs>
        <w:suppressAutoHyphens/>
        <w:spacing w:line="276" w:lineRule="auto"/>
        <w:jc w:val="both"/>
      </w:pPr>
    </w:p>
    <w:p w:rsidR="0019325D" w:rsidRPr="00460DB9" w:rsidRDefault="0019325D" w:rsidP="0019325D">
      <w:pPr>
        <w:shd w:val="clear" w:color="auto" w:fill="FFFFFF"/>
        <w:autoSpaceDE w:val="0"/>
        <w:autoSpaceDN w:val="0"/>
        <w:adjustRightInd w:val="0"/>
        <w:spacing w:line="276" w:lineRule="auto"/>
        <w:jc w:val="both"/>
      </w:pPr>
    </w:p>
    <w:p w:rsidR="0019325D" w:rsidRPr="00460DB9" w:rsidRDefault="0019325D" w:rsidP="0019325D">
      <w:pPr>
        <w:numPr>
          <w:ilvl w:val="0"/>
          <w:numId w:val="1"/>
        </w:numPr>
        <w:tabs>
          <w:tab w:val="left" w:pos="-1890"/>
        </w:tabs>
        <w:autoSpaceDE w:val="0"/>
        <w:autoSpaceDN w:val="0"/>
        <w:adjustRightInd w:val="0"/>
        <w:spacing w:line="276" w:lineRule="auto"/>
        <w:ind w:left="360"/>
        <w:jc w:val="both"/>
        <w:rPr>
          <w:b/>
        </w:rPr>
      </w:pPr>
      <w:r w:rsidRPr="00460DB9">
        <w:rPr>
          <w:b/>
        </w:rPr>
        <w:t>RECOMENDACIONES</w:t>
      </w:r>
    </w:p>
    <w:p w:rsidR="0019325D" w:rsidRPr="00460DB9" w:rsidRDefault="0019325D" w:rsidP="0019325D">
      <w:pPr>
        <w:tabs>
          <w:tab w:val="left" w:pos="-1890"/>
        </w:tabs>
        <w:autoSpaceDE w:val="0"/>
        <w:autoSpaceDN w:val="0"/>
        <w:adjustRightInd w:val="0"/>
        <w:spacing w:line="276" w:lineRule="auto"/>
        <w:ind w:left="360"/>
        <w:jc w:val="both"/>
        <w:rPr>
          <w:b/>
        </w:rPr>
      </w:pPr>
    </w:p>
    <w:p w:rsidR="0019325D" w:rsidRPr="00460DB9" w:rsidRDefault="0019325D" w:rsidP="0019325D">
      <w:pPr>
        <w:pStyle w:val="Prrafodelista1"/>
        <w:numPr>
          <w:ilvl w:val="0"/>
          <w:numId w:val="4"/>
        </w:numPr>
        <w:tabs>
          <w:tab w:val="left" w:pos="0"/>
        </w:tabs>
        <w:suppressAutoHyphens/>
        <w:ind w:left="714" w:right="102" w:hanging="357"/>
        <w:jc w:val="both"/>
        <w:rPr>
          <w:rFonts w:ascii="Times New Roman" w:hAnsi="Times New Roman"/>
          <w:sz w:val="24"/>
          <w:szCs w:val="24"/>
        </w:rPr>
      </w:pPr>
      <w:r w:rsidRPr="00460DB9">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19325D" w:rsidRPr="00460DB9" w:rsidRDefault="0019325D" w:rsidP="00675962">
      <w:pPr>
        <w:pStyle w:val="Prrafodelista1"/>
        <w:numPr>
          <w:ilvl w:val="0"/>
          <w:numId w:val="4"/>
        </w:numPr>
        <w:tabs>
          <w:tab w:val="left" w:pos="0"/>
        </w:tabs>
        <w:suppressAutoHyphens/>
        <w:ind w:right="102"/>
        <w:jc w:val="both"/>
        <w:rPr>
          <w:rFonts w:ascii="Times New Roman" w:hAnsi="Times New Roman"/>
          <w:sz w:val="24"/>
          <w:szCs w:val="24"/>
        </w:rPr>
      </w:pPr>
      <w:r w:rsidRPr="00460DB9">
        <w:rPr>
          <w:rFonts w:ascii="Times New Roman" w:hAnsi="Times New Roman"/>
          <w:color w:val="000000"/>
          <w:spacing w:val="-3"/>
          <w:sz w:val="24"/>
          <w:szCs w:val="24"/>
        </w:rPr>
        <w:t xml:space="preserve">Luego de la evaluación integral e interinstitucional, se recomienda </w:t>
      </w:r>
      <w:r w:rsidRPr="00460DB9">
        <w:rPr>
          <w:rFonts w:ascii="Times New Roman" w:hAnsi="Times New Roman"/>
          <w:b/>
          <w:color w:val="000000"/>
          <w:spacing w:val="-3"/>
          <w:sz w:val="24"/>
          <w:szCs w:val="24"/>
        </w:rPr>
        <w:t>APROBAR</w:t>
      </w:r>
      <w:r w:rsidRPr="00460DB9">
        <w:rPr>
          <w:rFonts w:ascii="Times New Roman" w:hAnsi="Times New Roman"/>
          <w:color w:val="000000"/>
          <w:spacing w:val="-3"/>
          <w:sz w:val="24"/>
          <w:szCs w:val="24"/>
        </w:rPr>
        <w:t xml:space="preserve"> el Estudio de Impacto Ambiental Categoría I, correspondiente al proyecto denominado </w:t>
      </w:r>
      <w:r w:rsidRPr="00460DB9">
        <w:rPr>
          <w:rFonts w:ascii="Times New Roman" w:hAnsi="Times New Roman"/>
          <w:b/>
          <w:color w:val="000000"/>
          <w:spacing w:val="-3"/>
          <w:sz w:val="24"/>
          <w:szCs w:val="24"/>
        </w:rPr>
        <w:t>“</w:t>
      </w:r>
      <w:r w:rsidR="00675962" w:rsidRPr="00675962">
        <w:rPr>
          <w:rFonts w:ascii="Times New Roman" w:hAnsi="Times New Roman"/>
          <w:b/>
          <w:bCs/>
          <w:sz w:val="24"/>
          <w:szCs w:val="24"/>
          <w:lang w:val="es-ES"/>
        </w:rPr>
        <w:t>URBANIZACIÓN ALEXANDRA</w:t>
      </w:r>
      <w:r w:rsidRPr="00460DB9">
        <w:rPr>
          <w:rFonts w:ascii="Times New Roman" w:hAnsi="Times New Roman"/>
          <w:b/>
          <w:sz w:val="24"/>
          <w:szCs w:val="24"/>
        </w:rPr>
        <w:t>”.</w:t>
      </w:r>
    </w:p>
    <w:p w:rsidR="0019325D" w:rsidRPr="00460DB9" w:rsidRDefault="0019325D" w:rsidP="0019325D">
      <w:pPr>
        <w:pStyle w:val="Prrafodelista1"/>
        <w:tabs>
          <w:tab w:val="left" w:pos="0"/>
        </w:tabs>
        <w:suppressAutoHyphens/>
        <w:ind w:right="102"/>
        <w:jc w:val="both"/>
        <w:rPr>
          <w:rFonts w:ascii="Times New Roman" w:hAnsi="Times New Roman"/>
          <w:sz w:val="24"/>
          <w:szCs w:val="24"/>
        </w:rPr>
      </w:pPr>
    </w:p>
    <w:p w:rsidR="0019325D" w:rsidRPr="00460DB9" w:rsidRDefault="0019325D" w:rsidP="0019325D">
      <w:pPr>
        <w:spacing w:line="276" w:lineRule="auto"/>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19325D" w:rsidRPr="00460DB9" w:rsidTr="007C07CC">
        <w:trPr>
          <w:jc w:val="center"/>
        </w:trPr>
        <w:tc>
          <w:tcPr>
            <w:tcW w:w="4527" w:type="dxa"/>
            <w:gridSpan w:val="3"/>
            <w:shd w:val="clear" w:color="auto" w:fill="auto"/>
          </w:tcPr>
          <w:p w:rsidR="0019325D" w:rsidRPr="00460DB9" w:rsidRDefault="0019325D" w:rsidP="007C07CC">
            <w:pPr>
              <w:spacing w:line="276" w:lineRule="auto"/>
              <w:jc w:val="both"/>
              <w:rPr>
                <w:rFonts w:eastAsia="MS Mincho"/>
              </w:rPr>
            </w:pPr>
          </w:p>
        </w:tc>
        <w:tc>
          <w:tcPr>
            <w:tcW w:w="4804" w:type="dxa"/>
            <w:gridSpan w:val="2"/>
            <w:shd w:val="clear" w:color="auto" w:fill="auto"/>
          </w:tcPr>
          <w:p w:rsidR="0019325D" w:rsidRPr="00460DB9" w:rsidRDefault="0019325D" w:rsidP="007C07CC">
            <w:pPr>
              <w:tabs>
                <w:tab w:val="left" w:pos="708"/>
                <w:tab w:val="center" w:pos="4419"/>
                <w:tab w:val="right" w:pos="8838"/>
              </w:tabs>
              <w:spacing w:line="276" w:lineRule="auto"/>
              <w:jc w:val="both"/>
              <w:rPr>
                <w:rFonts w:eastAsia="MS Mincho"/>
              </w:rPr>
            </w:pPr>
          </w:p>
        </w:tc>
      </w:tr>
      <w:tr w:rsidR="0019325D" w:rsidRPr="00460DB9" w:rsidTr="007C07CC">
        <w:trPr>
          <w:gridBefore w:val="1"/>
          <w:gridAfter w:val="1"/>
          <w:wBefore w:w="108" w:type="dxa"/>
          <w:wAfter w:w="151" w:type="dxa"/>
          <w:jc w:val="center"/>
        </w:trPr>
        <w:tc>
          <w:tcPr>
            <w:tcW w:w="4257" w:type="dxa"/>
            <w:shd w:val="clear" w:color="auto" w:fill="auto"/>
          </w:tcPr>
          <w:p w:rsidR="0019325D" w:rsidRPr="00460DB9" w:rsidRDefault="0019325D" w:rsidP="007C07CC">
            <w:pPr>
              <w:tabs>
                <w:tab w:val="left" w:pos="708"/>
                <w:tab w:val="center" w:pos="4419"/>
                <w:tab w:val="right" w:pos="8838"/>
              </w:tabs>
              <w:spacing w:line="276" w:lineRule="auto"/>
              <w:jc w:val="center"/>
              <w:rPr>
                <w:rFonts w:eastAsia="MS Mincho"/>
                <w:b/>
              </w:rPr>
            </w:pPr>
            <w:r w:rsidRPr="00460DB9">
              <w:rPr>
                <w:rFonts w:eastAsia="MS Mincho"/>
                <w:b/>
                <w:caps/>
              </w:rPr>
              <w:t xml:space="preserve">        </w:t>
            </w:r>
            <w:r w:rsidRPr="00460DB9">
              <w:rPr>
                <w:rFonts w:eastAsia="MS Mincho"/>
                <w:b/>
                <w:caps/>
                <w:lang w:val="es-PA"/>
              </w:rPr>
              <w:t xml:space="preserve">LIC. </w:t>
            </w:r>
            <w:r w:rsidRPr="00460DB9">
              <w:rPr>
                <w:rFonts w:eastAsia="MS Mincho"/>
                <w:b/>
              </w:rPr>
              <w:t>ALAINS ROJAS</w:t>
            </w:r>
          </w:p>
          <w:p w:rsidR="0019325D" w:rsidRPr="00460DB9" w:rsidRDefault="0019325D" w:rsidP="007C07CC">
            <w:pPr>
              <w:spacing w:line="276" w:lineRule="auto"/>
              <w:jc w:val="center"/>
              <w:rPr>
                <w:rFonts w:eastAsia="MS Mincho"/>
                <w:b/>
                <w:caps/>
              </w:rPr>
            </w:pPr>
            <w:r w:rsidRPr="00460DB9">
              <w:rPr>
                <w:rFonts w:eastAsia="MS Mincho"/>
              </w:rPr>
              <w:t xml:space="preserve">Evaluador                              </w:t>
            </w:r>
          </w:p>
          <w:p w:rsidR="0019325D" w:rsidRPr="00460DB9" w:rsidRDefault="0019325D" w:rsidP="007C07CC">
            <w:pPr>
              <w:spacing w:line="276" w:lineRule="auto"/>
              <w:jc w:val="center"/>
              <w:rPr>
                <w:rFonts w:eastAsia="MS Mincho"/>
                <w:b/>
                <w:caps/>
              </w:rPr>
            </w:pPr>
            <w:r w:rsidRPr="00460DB9">
              <w:rPr>
                <w:rFonts w:eastAsia="MS Mincho"/>
              </w:rPr>
              <w:t>Sección de Evaluación de Impacto Ambiental</w:t>
            </w:r>
          </w:p>
          <w:p w:rsidR="0019325D" w:rsidRPr="00460DB9" w:rsidRDefault="0019325D" w:rsidP="007C07CC">
            <w:pPr>
              <w:spacing w:line="276" w:lineRule="auto"/>
              <w:jc w:val="center"/>
              <w:rPr>
                <w:rFonts w:eastAsia="MS Mincho"/>
                <w:b/>
                <w:caps/>
              </w:rPr>
            </w:pPr>
            <w:r w:rsidRPr="00460DB9">
              <w:rPr>
                <w:rFonts w:eastAsia="MS Mincho"/>
                <w:caps/>
              </w:rPr>
              <w:t>m</w:t>
            </w:r>
            <w:r w:rsidRPr="00460DB9">
              <w:rPr>
                <w:rFonts w:eastAsia="MS Mincho"/>
              </w:rPr>
              <w:t>inisterio</w:t>
            </w:r>
            <w:r w:rsidRPr="00460DB9">
              <w:rPr>
                <w:rFonts w:eastAsia="MS Mincho"/>
                <w:caps/>
              </w:rPr>
              <w:t xml:space="preserve"> </w:t>
            </w:r>
            <w:r w:rsidRPr="00460DB9">
              <w:rPr>
                <w:rFonts w:eastAsia="MS Mincho"/>
              </w:rPr>
              <w:t>de</w:t>
            </w:r>
            <w:r w:rsidRPr="00460DB9">
              <w:rPr>
                <w:rFonts w:eastAsia="MS Mincho"/>
                <w:caps/>
              </w:rPr>
              <w:t xml:space="preserve"> a</w:t>
            </w:r>
            <w:r w:rsidRPr="00460DB9">
              <w:rPr>
                <w:rFonts w:eastAsia="MS Mincho"/>
              </w:rPr>
              <w:t>mbiente</w:t>
            </w:r>
            <w:r w:rsidRPr="00460DB9">
              <w:rPr>
                <w:rFonts w:eastAsia="MS Mincho"/>
                <w:caps/>
              </w:rPr>
              <w:t xml:space="preserve"> - C</w:t>
            </w:r>
            <w:r w:rsidRPr="00460DB9">
              <w:rPr>
                <w:rFonts w:eastAsia="MS Mincho"/>
              </w:rPr>
              <w:t>hiriquí</w:t>
            </w:r>
          </w:p>
        </w:tc>
        <w:tc>
          <w:tcPr>
            <w:tcW w:w="4815" w:type="dxa"/>
            <w:gridSpan w:val="2"/>
            <w:shd w:val="clear" w:color="auto" w:fill="auto"/>
          </w:tcPr>
          <w:p w:rsidR="0019325D" w:rsidRPr="00460DB9" w:rsidRDefault="0019325D" w:rsidP="007C07CC">
            <w:pPr>
              <w:spacing w:line="276" w:lineRule="auto"/>
              <w:jc w:val="center"/>
              <w:rPr>
                <w:rFonts w:eastAsia="MS Mincho"/>
                <w:b/>
              </w:rPr>
            </w:pPr>
            <w:r w:rsidRPr="00460DB9">
              <w:rPr>
                <w:rFonts w:eastAsia="MS Mincho"/>
                <w:b/>
              </w:rPr>
              <w:t>LIC. NELLY RAMOS</w:t>
            </w:r>
          </w:p>
          <w:p w:rsidR="0019325D" w:rsidRPr="00460DB9" w:rsidRDefault="0019325D" w:rsidP="007C07CC">
            <w:pPr>
              <w:spacing w:line="276" w:lineRule="auto"/>
              <w:jc w:val="center"/>
              <w:rPr>
                <w:rFonts w:eastAsia="MS Mincho"/>
              </w:rPr>
            </w:pPr>
            <w:r w:rsidRPr="00460DB9">
              <w:rPr>
                <w:rFonts w:eastAsia="MS Mincho"/>
              </w:rPr>
              <w:t xml:space="preserve">Jefa de la                              </w:t>
            </w:r>
          </w:p>
          <w:p w:rsidR="0019325D" w:rsidRPr="00460DB9" w:rsidRDefault="0019325D" w:rsidP="007C07CC">
            <w:pPr>
              <w:spacing w:line="276" w:lineRule="auto"/>
              <w:jc w:val="center"/>
              <w:rPr>
                <w:rFonts w:eastAsia="MS Mincho"/>
              </w:rPr>
            </w:pPr>
            <w:r w:rsidRPr="00460DB9">
              <w:rPr>
                <w:rFonts w:eastAsia="MS Mincho"/>
              </w:rPr>
              <w:t>Sección de Evaluación de Impacto Ambiental</w:t>
            </w:r>
          </w:p>
          <w:p w:rsidR="0019325D" w:rsidRPr="00460DB9" w:rsidRDefault="0019325D" w:rsidP="007C07CC">
            <w:pPr>
              <w:spacing w:line="276" w:lineRule="auto"/>
              <w:jc w:val="center"/>
              <w:rPr>
                <w:rFonts w:eastAsia="MS Mincho"/>
              </w:rPr>
            </w:pPr>
            <w:r w:rsidRPr="00460DB9">
              <w:rPr>
                <w:rFonts w:eastAsia="MS Mincho"/>
              </w:rPr>
              <w:t>Ministerio de Ambiente - Chiriquí</w:t>
            </w:r>
          </w:p>
        </w:tc>
      </w:tr>
      <w:tr w:rsidR="0019325D" w:rsidRPr="00460DB9" w:rsidTr="007C07CC">
        <w:trPr>
          <w:gridBefore w:val="1"/>
          <w:gridAfter w:val="1"/>
          <w:wBefore w:w="108" w:type="dxa"/>
          <w:wAfter w:w="151" w:type="dxa"/>
          <w:jc w:val="center"/>
        </w:trPr>
        <w:tc>
          <w:tcPr>
            <w:tcW w:w="9072" w:type="dxa"/>
            <w:gridSpan w:val="3"/>
            <w:shd w:val="clear" w:color="auto" w:fill="auto"/>
          </w:tcPr>
          <w:p w:rsidR="0019325D" w:rsidRPr="00460DB9" w:rsidRDefault="0019325D" w:rsidP="007C07CC">
            <w:pPr>
              <w:spacing w:line="276" w:lineRule="auto"/>
              <w:rPr>
                <w:rFonts w:eastAsia="MS Mincho"/>
                <w:b/>
                <w:caps/>
              </w:rPr>
            </w:pPr>
          </w:p>
          <w:p w:rsidR="0019325D" w:rsidRPr="00460DB9" w:rsidRDefault="0019325D" w:rsidP="007C07CC">
            <w:pPr>
              <w:spacing w:line="276" w:lineRule="auto"/>
              <w:rPr>
                <w:rFonts w:eastAsia="MS Mincho"/>
                <w:b/>
                <w:caps/>
              </w:rPr>
            </w:pPr>
            <w:r w:rsidRPr="00460DB9">
              <w:rPr>
                <w:rFonts w:eastAsia="MS Mincho"/>
                <w:b/>
                <w:caps/>
              </w:rPr>
              <w:t xml:space="preserve">          </w:t>
            </w:r>
          </w:p>
          <w:p w:rsidR="0019325D" w:rsidRPr="00460DB9" w:rsidRDefault="0019325D" w:rsidP="007C07CC">
            <w:pPr>
              <w:spacing w:line="276" w:lineRule="auto"/>
              <w:rPr>
                <w:rFonts w:eastAsia="MS Mincho"/>
                <w:b/>
                <w:caps/>
              </w:rPr>
            </w:pPr>
          </w:p>
          <w:p w:rsidR="0019325D" w:rsidRPr="00460DB9" w:rsidRDefault="0019325D" w:rsidP="007C07CC">
            <w:pPr>
              <w:spacing w:line="276" w:lineRule="auto"/>
              <w:jc w:val="center"/>
              <w:rPr>
                <w:rFonts w:eastAsia="MS Mincho"/>
                <w:b/>
                <w:caps/>
              </w:rPr>
            </w:pPr>
            <w:r w:rsidRPr="00460DB9">
              <w:rPr>
                <w:rFonts w:eastAsia="MS Mincho"/>
                <w:b/>
                <w:caps/>
              </w:rPr>
              <w:t>ing. jeovany mora</w:t>
            </w:r>
          </w:p>
          <w:p w:rsidR="0019325D" w:rsidRPr="00460DB9" w:rsidRDefault="0019325D" w:rsidP="007C07CC">
            <w:pPr>
              <w:spacing w:line="276" w:lineRule="auto"/>
              <w:jc w:val="center"/>
              <w:rPr>
                <w:rFonts w:eastAsia="MS Mincho"/>
              </w:rPr>
            </w:pPr>
            <w:r w:rsidRPr="00460DB9">
              <w:rPr>
                <w:rFonts w:eastAsia="MS Mincho"/>
                <w:caps/>
              </w:rPr>
              <w:t>d</w:t>
            </w:r>
            <w:r w:rsidRPr="00460DB9">
              <w:rPr>
                <w:rFonts w:eastAsia="MS Mincho"/>
              </w:rPr>
              <w:t xml:space="preserve">irector </w:t>
            </w:r>
            <w:r w:rsidRPr="00460DB9">
              <w:rPr>
                <w:rFonts w:eastAsia="MS Mincho"/>
                <w:caps/>
              </w:rPr>
              <w:t>r</w:t>
            </w:r>
            <w:r w:rsidRPr="00460DB9">
              <w:rPr>
                <w:rFonts w:eastAsia="MS Mincho"/>
              </w:rPr>
              <w:t>egional Encargado</w:t>
            </w:r>
          </w:p>
          <w:p w:rsidR="0019325D" w:rsidRPr="00460DB9" w:rsidRDefault="0019325D" w:rsidP="007C07CC">
            <w:pPr>
              <w:spacing w:line="276" w:lineRule="auto"/>
              <w:jc w:val="center"/>
              <w:rPr>
                <w:rFonts w:eastAsia="MS Mincho"/>
                <w:caps/>
              </w:rPr>
            </w:pPr>
            <w:r w:rsidRPr="00460DB9">
              <w:rPr>
                <w:rFonts w:eastAsia="MS Mincho"/>
                <w:caps/>
              </w:rPr>
              <w:t>m</w:t>
            </w:r>
            <w:r w:rsidRPr="00460DB9">
              <w:rPr>
                <w:rFonts w:eastAsia="MS Mincho"/>
              </w:rPr>
              <w:t>inisterio</w:t>
            </w:r>
            <w:r w:rsidRPr="00460DB9">
              <w:rPr>
                <w:rFonts w:eastAsia="MS Mincho"/>
                <w:caps/>
              </w:rPr>
              <w:t xml:space="preserve"> </w:t>
            </w:r>
            <w:r w:rsidRPr="00460DB9">
              <w:rPr>
                <w:rFonts w:eastAsia="MS Mincho"/>
              </w:rPr>
              <w:t>de</w:t>
            </w:r>
            <w:r w:rsidRPr="00460DB9">
              <w:rPr>
                <w:rFonts w:eastAsia="MS Mincho"/>
                <w:caps/>
              </w:rPr>
              <w:t xml:space="preserve"> a</w:t>
            </w:r>
            <w:r w:rsidRPr="00460DB9">
              <w:rPr>
                <w:rFonts w:eastAsia="MS Mincho"/>
              </w:rPr>
              <w:t>mbiente</w:t>
            </w:r>
            <w:r w:rsidRPr="00460DB9">
              <w:rPr>
                <w:rFonts w:eastAsia="MS Mincho"/>
                <w:caps/>
              </w:rPr>
              <w:t xml:space="preserve"> - C</w:t>
            </w:r>
            <w:r w:rsidRPr="00460DB9">
              <w:rPr>
                <w:rFonts w:eastAsia="MS Mincho"/>
              </w:rPr>
              <w:t>hiriquí</w:t>
            </w:r>
          </w:p>
        </w:tc>
      </w:tr>
    </w:tbl>
    <w:p w:rsidR="0019325D" w:rsidRPr="00460DB9" w:rsidRDefault="0019325D" w:rsidP="0019325D"/>
    <w:p w:rsidR="0019325D" w:rsidRPr="00460DB9" w:rsidRDefault="0019325D" w:rsidP="0019325D"/>
    <w:p w:rsidR="0019325D" w:rsidRPr="00460DB9" w:rsidRDefault="0019325D" w:rsidP="0019325D"/>
    <w:p w:rsidR="0019325D" w:rsidRPr="00460DB9" w:rsidRDefault="0019325D" w:rsidP="0019325D"/>
    <w:p w:rsidR="0019325D" w:rsidRPr="00460DB9" w:rsidRDefault="0019325D" w:rsidP="0019325D"/>
    <w:p w:rsidR="00777232" w:rsidRDefault="00DD5A93"/>
    <w:sectPr w:rsidR="00777232">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A93" w:rsidRDefault="00DD5A93" w:rsidP="00DD7B05">
      <w:r>
        <w:separator/>
      </w:r>
    </w:p>
  </w:endnote>
  <w:endnote w:type="continuationSeparator" w:id="0">
    <w:p w:rsidR="00DD5A93" w:rsidRDefault="00DD5A93" w:rsidP="00DD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3E" w:rsidRDefault="00A6555C">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424D3E" w:rsidRDefault="00A6555C">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3F6831" w:rsidRDefault="00A6555C">
    <w:pPr>
      <w:tabs>
        <w:tab w:val="left" w:pos="-1890"/>
      </w:tabs>
      <w:autoSpaceDE w:val="0"/>
      <w:autoSpaceDN w:val="0"/>
      <w:adjustRightInd w:val="0"/>
      <w:rPr>
        <w:b/>
        <w:bCs/>
        <w:sz w:val="16"/>
        <w:szCs w:val="16"/>
      </w:rPr>
    </w:pPr>
    <w:r>
      <w:rPr>
        <w:sz w:val="16"/>
        <w:szCs w:val="14"/>
        <w:lang w:eastAsia="zh-CN"/>
      </w:rPr>
      <w:t xml:space="preserve">PROYECTO: </w:t>
    </w:r>
    <w:r w:rsidR="00DD7B05" w:rsidRPr="00DD7B05">
      <w:rPr>
        <w:b/>
        <w:bCs/>
        <w:sz w:val="16"/>
        <w:szCs w:val="16"/>
      </w:rPr>
      <w:t>URBANIZACIÓN ALEXANDRA</w:t>
    </w:r>
    <w:r w:rsidRPr="003F6831">
      <w:rPr>
        <w:b/>
        <w:bCs/>
        <w:sz w:val="16"/>
        <w:szCs w:val="16"/>
      </w:rPr>
      <w:t xml:space="preserve"> </w:t>
    </w:r>
  </w:p>
  <w:p w:rsidR="007C503B" w:rsidRDefault="00A6555C">
    <w:pPr>
      <w:tabs>
        <w:tab w:val="left" w:pos="-1890"/>
      </w:tabs>
      <w:autoSpaceDE w:val="0"/>
      <w:autoSpaceDN w:val="0"/>
      <w:adjustRightInd w:val="0"/>
      <w:rPr>
        <w:sz w:val="16"/>
        <w:szCs w:val="14"/>
        <w:lang w:val="es-PA" w:eastAsia="zh-CN"/>
      </w:rPr>
    </w:pPr>
    <w:r>
      <w:rPr>
        <w:sz w:val="16"/>
        <w:szCs w:val="14"/>
        <w:lang w:val="es-PA" w:eastAsia="zh-CN"/>
      </w:rPr>
      <w:t xml:space="preserve">PROMOTOR: </w:t>
    </w:r>
    <w:r w:rsidR="00DD7B05" w:rsidRPr="00DD7B05">
      <w:rPr>
        <w:sz w:val="16"/>
        <w:szCs w:val="14"/>
        <w:lang w:val="es-PA" w:eastAsia="zh-CN"/>
      </w:rPr>
      <w:t>JARDINES DE VILLA-REAL, S. A.</w:t>
    </w:r>
  </w:p>
  <w:p w:rsidR="00424D3E" w:rsidRDefault="00A6555C">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6F0FEF">
      <w:rPr>
        <w:noProof/>
        <w:sz w:val="16"/>
        <w:szCs w:val="14"/>
        <w:lang w:eastAsia="zh-CN"/>
      </w:rPr>
      <w:t>3</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6F0FEF">
      <w:rPr>
        <w:noProof/>
        <w:sz w:val="16"/>
        <w:szCs w:val="14"/>
        <w:lang w:eastAsia="zh-CN"/>
      </w:rPr>
      <w:t>5</w:t>
    </w:r>
    <w:r>
      <w:rPr>
        <w:sz w:val="16"/>
        <w:szCs w:val="14"/>
        <w:lang w:eastAsia="zh-CN"/>
      </w:rPr>
      <w:fldChar w:fldCharType="end"/>
    </w:r>
  </w:p>
  <w:p w:rsidR="00424D3E" w:rsidRDefault="00A6555C">
    <w:pPr>
      <w:pBdr>
        <w:top w:val="single" w:sz="2" w:space="1" w:color="000000"/>
      </w:pBdr>
      <w:tabs>
        <w:tab w:val="center" w:pos="4252"/>
        <w:tab w:val="right" w:pos="8504"/>
      </w:tabs>
      <w:suppressAutoHyphens/>
      <w:rPr>
        <w:sz w:val="16"/>
        <w:szCs w:val="14"/>
        <w:lang w:eastAsia="zh-CN"/>
      </w:rPr>
    </w:pPr>
    <w:r>
      <w:rPr>
        <w:sz w:val="16"/>
        <w:szCs w:val="14"/>
        <w:lang w:val="es-PA" w:eastAsia="zh-CN"/>
      </w:rPr>
      <w:t>JM</w:t>
    </w:r>
    <w:r>
      <w:rPr>
        <w:sz w:val="16"/>
        <w:szCs w:val="14"/>
        <w:lang w:eastAsia="zh-CN"/>
      </w:rPr>
      <w:t>/NR/AR/</w:t>
    </w:r>
    <w:proofErr w:type="spellStart"/>
    <w:r>
      <w:rPr>
        <w:sz w:val="16"/>
        <w:szCs w:val="14"/>
        <w:lang w:eastAsia="zh-CN"/>
      </w:rPr>
      <w:t>ar</w:t>
    </w:r>
    <w:proofErr w:type="spellEnd"/>
  </w:p>
  <w:p w:rsidR="00424D3E" w:rsidRDefault="00DD5A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A93" w:rsidRDefault="00DD5A93" w:rsidP="00DD7B05">
      <w:r>
        <w:separator/>
      </w:r>
    </w:p>
  </w:footnote>
  <w:footnote w:type="continuationSeparator" w:id="0">
    <w:p w:rsidR="00DD5A93" w:rsidRDefault="00DD5A93" w:rsidP="00DD7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F161525"/>
    <w:multiLevelType w:val="hybridMultilevel"/>
    <w:tmpl w:val="A3B0413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25D"/>
    <w:rsid w:val="00090471"/>
    <w:rsid w:val="00167786"/>
    <w:rsid w:val="0019325D"/>
    <w:rsid w:val="0030405A"/>
    <w:rsid w:val="005D0856"/>
    <w:rsid w:val="00675962"/>
    <w:rsid w:val="006966EF"/>
    <w:rsid w:val="006F0FEF"/>
    <w:rsid w:val="00A52469"/>
    <w:rsid w:val="00A6555C"/>
    <w:rsid w:val="00B429A8"/>
    <w:rsid w:val="00BC3D0E"/>
    <w:rsid w:val="00C3620D"/>
    <w:rsid w:val="00DD5A93"/>
    <w:rsid w:val="00DD7B0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25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19325D"/>
    <w:pPr>
      <w:tabs>
        <w:tab w:val="center" w:pos="4252"/>
        <w:tab w:val="right" w:pos="8504"/>
      </w:tabs>
    </w:pPr>
  </w:style>
  <w:style w:type="character" w:customStyle="1" w:styleId="PiedepginaCar">
    <w:name w:val="Pie de página Car"/>
    <w:basedOn w:val="Fuentedeprrafopredeter"/>
    <w:link w:val="Piedepgina"/>
    <w:rsid w:val="0019325D"/>
    <w:rPr>
      <w:rFonts w:ascii="Times New Roman" w:eastAsia="Times New Roman" w:hAnsi="Times New Roman" w:cs="Times New Roman"/>
      <w:sz w:val="24"/>
      <w:szCs w:val="24"/>
      <w:lang w:val="es-ES" w:eastAsia="es-ES"/>
    </w:rPr>
  </w:style>
  <w:style w:type="character" w:styleId="nfasis">
    <w:name w:val="Emphasis"/>
    <w:qFormat/>
    <w:rsid w:val="0019325D"/>
    <w:rPr>
      <w:i/>
      <w:iCs/>
    </w:rPr>
  </w:style>
  <w:style w:type="paragraph" w:customStyle="1" w:styleId="Prrafodelista1">
    <w:name w:val="Párrafo de lista1"/>
    <w:basedOn w:val="Normal"/>
    <w:uiPriority w:val="34"/>
    <w:qFormat/>
    <w:rsid w:val="0019325D"/>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19325D"/>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19325D"/>
    <w:pPr>
      <w:ind w:left="720"/>
      <w:contextualSpacing/>
    </w:pPr>
  </w:style>
  <w:style w:type="table" w:styleId="Tablaconcuadrcula">
    <w:name w:val="Table Grid"/>
    <w:basedOn w:val="Tablanormal"/>
    <w:uiPriority w:val="59"/>
    <w:rsid w:val="001932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19325D"/>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19325D"/>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19325D"/>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DD7B05"/>
    <w:pPr>
      <w:tabs>
        <w:tab w:val="center" w:pos="4419"/>
        <w:tab w:val="right" w:pos="8838"/>
      </w:tabs>
    </w:pPr>
  </w:style>
  <w:style w:type="character" w:customStyle="1" w:styleId="EncabezadoCar">
    <w:name w:val="Encabezado Car"/>
    <w:basedOn w:val="Fuentedeprrafopredeter"/>
    <w:link w:val="Encabezado"/>
    <w:uiPriority w:val="99"/>
    <w:rsid w:val="00DD7B0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F0FEF"/>
    <w:rPr>
      <w:rFonts w:ascii="Tahoma" w:hAnsi="Tahoma" w:cs="Tahoma"/>
      <w:sz w:val="16"/>
      <w:szCs w:val="16"/>
    </w:rPr>
  </w:style>
  <w:style w:type="character" w:customStyle="1" w:styleId="TextodegloboCar">
    <w:name w:val="Texto de globo Car"/>
    <w:basedOn w:val="Fuentedeprrafopredeter"/>
    <w:link w:val="Textodeglobo"/>
    <w:uiPriority w:val="99"/>
    <w:semiHidden/>
    <w:rsid w:val="006F0FEF"/>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25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19325D"/>
    <w:pPr>
      <w:tabs>
        <w:tab w:val="center" w:pos="4252"/>
        <w:tab w:val="right" w:pos="8504"/>
      </w:tabs>
    </w:pPr>
  </w:style>
  <w:style w:type="character" w:customStyle="1" w:styleId="PiedepginaCar">
    <w:name w:val="Pie de página Car"/>
    <w:basedOn w:val="Fuentedeprrafopredeter"/>
    <w:link w:val="Piedepgina"/>
    <w:rsid w:val="0019325D"/>
    <w:rPr>
      <w:rFonts w:ascii="Times New Roman" w:eastAsia="Times New Roman" w:hAnsi="Times New Roman" w:cs="Times New Roman"/>
      <w:sz w:val="24"/>
      <w:szCs w:val="24"/>
      <w:lang w:val="es-ES" w:eastAsia="es-ES"/>
    </w:rPr>
  </w:style>
  <w:style w:type="character" w:styleId="nfasis">
    <w:name w:val="Emphasis"/>
    <w:qFormat/>
    <w:rsid w:val="0019325D"/>
    <w:rPr>
      <w:i/>
      <w:iCs/>
    </w:rPr>
  </w:style>
  <w:style w:type="paragraph" w:customStyle="1" w:styleId="Prrafodelista1">
    <w:name w:val="Párrafo de lista1"/>
    <w:basedOn w:val="Normal"/>
    <w:uiPriority w:val="34"/>
    <w:qFormat/>
    <w:rsid w:val="0019325D"/>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19325D"/>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19325D"/>
    <w:pPr>
      <w:ind w:left="720"/>
      <w:contextualSpacing/>
    </w:pPr>
  </w:style>
  <w:style w:type="table" w:styleId="Tablaconcuadrcula">
    <w:name w:val="Table Grid"/>
    <w:basedOn w:val="Tablanormal"/>
    <w:uiPriority w:val="59"/>
    <w:rsid w:val="001932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19325D"/>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19325D"/>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19325D"/>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DD7B05"/>
    <w:pPr>
      <w:tabs>
        <w:tab w:val="center" w:pos="4419"/>
        <w:tab w:val="right" w:pos="8838"/>
      </w:tabs>
    </w:pPr>
  </w:style>
  <w:style w:type="character" w:customStyle="1" w:styleId="EncabezadoCar">
    <w:name w:val="Encabezado Car"/>
    <w:basedOn w:val="Fuentedeprrafopredeter"/>
    <w:link w:val="Encabezado"/>
    <w:uiPriority w:val="99"/>
    <w:rsid w:val="00DD7B0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F0FEF"/>
    <w:rPr>
      <w:rFonts w:ascii="Tahoma" w:hAnsi="Tahoma" w:cs="Tahoma"/>
      <w:sz w:val="16"/>
      <w:szCs w:val="16"/>
    </w:rPr>
  </w:style>
  <w:style w:type="character" w:customStyle="1" w:styleId="TextodegloboCar">
    <w:name w:val="Texto de globo Car"/>
    <w:basedOn w:val="Fuentedeprrafopredeter"/>
    <w:link w:val="Textodeglobo"/>
    <w:uiPriority w:val="99"/>
    <w:semiHidden/>
    <w:rsid w:val="006F0FEF"/>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5</Pages>
  <Words>1977</Words>
  <Characters>10877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5</cp:revision>
  <cp:lastPrinted>2019-08-07T20:11:00Z</cp:lastPrinted>
  <dcterms:created xsi:type="dcterms:W3CDTF">2019-08-06T16:06:00Z</dcterms:created>
  <dcterms:modified xsi:type="dcterms:W3CDTF">2019-08-07T20:29:00Z</dcterms:modified>
</cp:coreProperties>
</file>