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2F" w:rsidRDefault="00F0302F" w:rsidP="00F0302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bookmarkStart w:id="0" w:name="_GoBack"/>
      <w:bookmarkEnd w:id="0"/>
    </w:p>
    <w:p w:rsidR="00F0302F" w:rsidRDefault="00F0302F" w:rsidP="00F0302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F0302F" w:rsidTr="002103BE">
        <w:trPr>
          <w:trHeight w:val="418"/>
        </w:trPr>
        <w:tc>
          <w:tcPr>
            <w:tcW w:w="2870" w:type="dxa"/>
          </w:tcPr>
          <w:p w:rsidR="00F0302F" w:rsidRDefault="00F0302F" w:rsidP="002103BE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F0302F" w:rsidRDefault="00F0302F" w:rsidP="002103BE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7 DE AGOSTO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F0302F" w:rsidTr="002103BE">
        <w:trPr>
          <w:trHeight w:val="345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F0302F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F0302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CONSTRUCCIÓN DE LA AGENCIA DEL INSTITUTO DE SEGURO AGROPECUARIO (ISA) EN TOLÉ</w:t>
            </w:r>
          </w:p>
        </w:tc>
      </w:tr>
      <w:tr w:rsidR="00F0302F" w:rsidTr="002103BE">
        <w:trPr>
          <w:trHeight w:val="274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F0302F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GALVANIZADORA CIVELMEC, S.A.</w:t>
            </w:r>
          </w:p>
        </w:tc>
      </w:tr>
      <w:tr w:rsidR="00F0302F" w:rsidTr="002103BE">
        <w:trPr>
          <w:trHeight w:val="274"/>
        </w:trPr>
        <w:tc>
          <w:tcPr>
            <w:tcW w:w="2870" w:type="dxa"/>
          </w:tcPr>
          <w:p w:rsidR="00F0302F" w:rsidRDefault="00F0302F" w:rsidP="002103BE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APOD. LEGAL:</w:t>
            </w:r>
          </w:p>
        </w:tc>
        <w:tc>
          <w:tcPr>
            <w:tcW w:w="5919" w:type="dxa"/>
          </w:tcPr>
          <w:p w:rsidR="00F0302F" w:rsidRPr="007C46EC" w:rsidRDefault="00F0302F" w:rsidP="002103B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HILDA PATRICIA VALDERRAMA MANTILLA</w:t>
            </w:r>
          </w:p>
        </w:tc>
      </w:tr>
      <w:tr w:rsidR="00F0302F" w:rsidTr="002103BE">
        <w:trPr>
          <w:trHeight w:val="296"/>
        </w:trPr>
        <w:tc>
          <w:tcPr>
            <w:tcW w:w="2870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F030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AURIS CAMPOS/MARLINA HERRERA</w:t>
            </w:r>
          </w:p>
        </w:tc>
      </w:tr>
      <w:tr w:rsidR="00F0302F" w:rsidTr="002103BE">
        <w:trPr>
          <w:trHeight w:val="443"/>
        </w:trPr>
        <w:tc>
          <w:tcPr>
            <w:tcW w:w="2870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F0302F" w:rsidRDefault="00F0302F" w:rsidP="002103BE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F0302F" w:rsidRDefault="00F0302F" w:rsidP="002103BE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TOLÉ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TOLÉ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Pr="00F0302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CONSTRUCCIÓN DE LA AGENCIA DEL INSTITUTO DE SEGURO AGROPECUARIO (ISA) EN TOLÉ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Pr="007C46EC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la</w:t>
      </w:r>
      <w:r w:rsidRPr="00F0302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construcción de una edificación de una sola planta, comprendida internamente por oficinas para la atención, recepción, baños para damas y caballeros, área de comedor, cocina, dos habitaciones (cuartos dormitorios) para personal que tenga que pernoctar, tina, Asta para la bandera nacional, macetero, cuatro (4) estacionamientos y cerca perimetral.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La construcción se ubicará sobre la Finca No.76504 en una superficie total de 507.41m</w:t>
      </w:r>
      <w:r w:rsidRPr="00F0302F">
        <w:rPr>
          <w:rFonts w:ascii="Times New Roman" w:eastAsia="Times New Roman" w:hAnsi="Times New Roman"/>
          <w:sz w:val="24"/>
          <w:szCs w:val="24"/>
          <w:vertAlign w:val="superscript"/>
          <w:lang w:eastAsia="es-ES"/>
        </w:rPr>
        <w:t>2</w:t>
      </w: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contigua al Cementerio de la comunidad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Corregimiento y Distrito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, Provincia de Chiriquí. A través del Acuerdo Municipal No.4 de 8 de enero de 2019 (Adjunto en anexo No.2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del EsIA el a</w:t>
      </w:r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cuerdo Municipal), el Municipio de </w:t>
      </w:r>
      <w:proofErr w:type="spellStart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>Tolé</w:t>
      </w:r>
      <w:proofErr w:type="spellEnd"/>
      <w:r w:rsidRPr="00F0302F">
        <w:rPr>
          <w:rFonts w:ascii="Times New Roman" w:eastAsia="Times New Roman" w:hAnsi="Times New Roman"/>
          <w:sz w:val="24"/>
          <w:szCs w:val="24"/>
          <w:lang w:eastAsia="es-ES"/>
        </w:rPr>
        <w:t xml:space="preserve"> dona este terreno al Instituto de Seguro Agropecuario (ISA) para la construcción de esta edificación.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F0302F" w:rsidRDefault="00F0302F" w:rsidP="00F0302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F0302F" w:rsidRDefault="00F0302F" w:rsidP="00F0302F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F0302F" w:rsidRDefault="00F0302F" w:rsidP="00F0302F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5E5467" w:rsidRPr="005E5467" w:rsidRDefault="00DA76CD" w:rsidP="005E5467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</w:t>
      </w:r>
      <w:r w:rsidR="00F0302F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unto 5.2,</w:t>
      </w:r>
      <w:r w:rsidRPr="005E5467">
        <w:rPr>
          <w:b/>
        </w:rPr>
        <w:t xml:space="preserve">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Ubicación geográfica incluyendo el mapa en escala 1:50,000 y coordenadas UTM o geográ</w:t>
      </w:r>
      <w:r w:rsidR="008F4686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ficas del polígono del proyecto. </w:t>
      </w:r>
    </w:p>
    <w:p w:rsidR="00DA76CD" w:rsidRPr="005E5467" w:rsidRDefault="00DA76CD" w:rsidP="00DA76CD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Estudio de Impacto Ambiental, no se unifica las coordenadas para el polígono del proyecto, ya que se presenta en el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5.2,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un cuadro que contiene cinco coordenadas geográficas de la ubicación del proyecto, pero en la plataforma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PREFASIA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presentan ocho juegos de coordenadas y en la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página 7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del estudio se presenta un cuadro con cuatro coordenadas geográficas.</w:t>
      </w:r>
    </w:p>
    <w:p w:rsidR="00DA76CD" w:rsidRPr="00F24D74" w:rsidRDefault="00F0302F" w:rsidP="00F24D7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indica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en </w:t>
      </w:r>
      <w:r w:rsidR="00DA76CD"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la ubicación geográfica del proyecto, el mapa p</w:t>
      </w:r>
      <w:r w:rsid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resentado es una imagen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F0302F" w:rsidRPr="005E5467" w:rsidRDefault="00F0302F" w:rsidP="005E5467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</w:t>
      </w:r>
      <w:r w:rsidR="00F24D7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6.6 Hidrología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se indica en que cuenca hidrográfica se localiza el proyecto.</w:t>
      </w:r>
    </w:p>
    <w:p w:rsidR="004B2A4E" w:rsidRPr="005E5467" w:rsidRDefault="004B2A4E" w:rsidP="005E5467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No se presenta </w:t>
      </w:r>
      <w:r w:rsidR="006A3E8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</w:t>
      </w:r>
      <w:r w:rsidR="000A73B4"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la plataforma PREFASIA</w:t>
      </w:r>
      <w:r w:rsidR="006A3E8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0A73B4"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el Certificado de Registro Público  de existencia de la propiedad de la </w:t>
      </w:r>
      <w:r w:rsidR="000A73B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Finca No.76504, </w:t>
      </w:r>
      <w:r w:rsidR="000A73B4"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 la cual</w:t>
      </w:r>
      <w:r w:rsidR="000A73B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Municipio de </w:t>
      </w:r>
      <w:proofErr w:type="spellStart"/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Tolé</w:t>
      </w:r>
      <w:proofErr w:type="spellEnd"/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dona globo de terreno a favor del</w:t>
      </w:r>
      <w:r w:rsidR="000A73B4"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I</w:t>
      </w:r>
      <w:r w:rsidR="000A73B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nstituto de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S</w:t>
      </w:r>
      <w:r w:rsidR="000A73B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eguro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A</w:t>
      </w:r>
      <w:r w:rsidR="000A73B4"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gropecuario</w:t>
      </w:r>
      <w:r w:rsidR="000A73B4"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0A73B4" w:rsidRPr="000A73B4" w:rsidRDefault="000A73B4" w:rsidP="00D8015A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="00D8015A">
        <w:rPr>
          <w:rFonts w:ascii="Times New Roman" w:eastAsia="Times New Roman" w:hAnsi="Times New Roman"/>
          <w:sz w:val="24"/>
          <w:szCs w:val="24"/>
          <w:lang w:val="es-ES" w:eastAsia="es-ES"/>
        </w:rPr>
        <w:t>, y demás modificaciones.</w:t>
      </w:r>
    </w:p>
    <w:p w:rsidR="00F0302F" w:rsidRDefault="00F0302F" w:rsidP="00F0302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F24D74" w:rsidRPr="00F24D7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423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D8015A" w:rsidTr="00D8015A">
        <w:trPr>
          <w:trHeight w:val="1738"/>
        </w:trPr>
        <w:tc>
          <w:tcPr>
            <w:tcW w:w="4219" w:type="dxa"/>
          </w:tcPr>
          <w:p w:rsidR="00D8015A" w:rsidRDefault="00D8015A" w:rsidP="00D8015A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D8015A" w:rsidRDefault="00D8015A" w:rsidP="00D8015A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LIC. ALAINS ROJAS</w:t>
            </w:r>
          </w:p>
          <w:p w:rsidR="00D8015A" w:rsidRPr="00D3016E" w:rsidRDefault="00D8015A" w:rsidP="00D8015A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D8015A" w:rsidRPr="00D3016E" w:rsidRDefault="00D8015A" w:rsidP="00D8015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F0302F" w:rsidRPr="00D37F59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F0302F" w:rsidRDefault="00F0302F" w:rsidP="00F0302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F0302F" w:rsidRDefault="00F0302F" w:rsidP="00F0302F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F0302F" w:rsidRDefault="00F0302F" w:rsidP="00F0302F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F0302F" w:rsidRDefault="00F0302F" w:rsidP="00F0302F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F0302F" w:rsidRPr="000F749C" w:rsidRDefault="00F0302F" w:rsidP="00F0302F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F0302F" w:rsidRPr="000F749C" w:rsidRDefault="00F0302F" w:rsidP="00F0302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F0302F" w:rsidRPr="00D3016E" w:rsidRDefault="00F0302F" w:rsidP="00F0302F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F0302F" w:rsidRDefault="00F0302F" w:rsidP="00F0302F"/>
    <w:p w:rsidR="00F0302F" w:rsidRDefault="00F0302F" w:rsidP="00F0302F"/>
    <w:p w:rsidR="00777232" w:rsidRDefault="001D288D"/>
    <w:sectPr w:rsidR="00777232" w:rsidSect="001E17F1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8D" w:rsidRDefault="001D288D">
      <w:pPr>
        <w:spacing w:after="0" w:line="240" w:lineRule="auto"/>
      </w:pPr>
      <w:r>
        <w:separator/>
      </w:r>
    </w:p>
  </w:endnote>
  <w:endnote w:type="continuationSeparator" w:id="0">
    <w:p w:rsidR="001D288D" w:rsidRDefault="001D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8B2DE9">
    <w:pPr>
      <w:pStyle w:val="Piedepgina"/>
    </w:pPr>
    <w:r>
      <w:t>JM/NR/</w:t>
    </w:r>
    <w:proofErr w:type="spellStart"/>
    <w:r>
      <w:t>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8D" w:rsidRDefault="001D288D">
      <w:pPr>
        <w:spacing w:after="0" w:line="240" w:lineRule="auto"/>
      </w:pPr>
      <w:r>
        <w:separator/>
      </w:r>
    </w:p>
  </w:footnote>
  <w:footnote w:type="continuationSeparator" w:id="0">
    <w:p w:rsidR="001D288D" w:rsidRDefault="001D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D4F6CF5"/>
    <w:multiLevelType w:val="hybridMultilevel"/>
    <w:tmpl w:val="D0E8F9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2F"/>
    <w:rsid w:val="00090471"/>
    <w:rsid w:val="000A73B4"/>
    <w:rsid w:val="001D288D"/>
    <w:rsid w:val="004B2A4E"/>
    <w:rsid w:val="0051348B"/>
    <w:rsid w:val="005E5467"/>
    <w:rsid w:val="006A3E88"/>
    <w:rsid w:val="008B2DE9"/>
    <w:rsid w:val="008F4686"/>
    <w:rsid w:val="00B429A8"/>
    <w:rsid w:val="00CB32FB"/>
    <w:rsid w:val="00D8015A"/>
    <w:rsid w:val="00DA76CD"/>
    <w:rsid w:val="00F0302F"/>
    <w:rsid w:val="00F2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0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2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E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2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03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2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E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2019-08-09T15:57:00Z</dcterms:created>
  <dcterms:modified xsi:type="dcterms:W3CDTF">2019-08-09T15:57:00Z</dcterms:modified>
</cp:coreProperties>
</file>