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605DB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605DB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605DB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7965D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INFORME DE REVISIÓN DE CONTENIDOS MÍNIMOS DE MODIFICACIÓN AL </w:t>
      </w:r>
      <w:r w:rsidRPr="007965D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ESTUDIO DE IMPACTO AMBIENTAL</w:t>
      </w:r>
      <w:r w:rsidR="006C74D5" w:rsidRPr="007965D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-No </w:t>
      </w:r>
      <w:r w:rsidR="002E283E" w:rsidRPr="007965D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7965D7" w:rsidRPr="007965D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2</w:t>
      </w:r>
      <w:r w:rsidR="006C74D5" w:rsidRPr="007965D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9445B3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9445B3" w:rsidRDefault="002E283E" w:rsidP="002E28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16</w:t>
            </w:r>
            <w:r w:rsidR="004C5007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AGOSTO</w:t>
            </w:r>
            <w:r w:rsidR="005B1D29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9445B3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9445B3" w:rsidRDefault="00603317" w:rsidP="0060331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44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MOVIMIENTO DE TIERRA, NIVELACIÓN Y CALLES DE ACCESO </w:t>
            </w:r>
          </w:p>
        </w:tc>
      </w:tr>
      <w:tr w:rsidR="00B936C2" w:rsidRPr="009445B3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9445B3" w:rsidRDefault="00603317" w:rsidP="00603317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</w:rPr>
            </w:pPr>
            <w:r w:rsidRPr="009445B3">
              <w:rPr>
                <w:b/>
                <w:bCs/>
              </w:rPr>
              <w:t>PROMOTORA BRJ, S.A.</w:t>
            </w:r>
          </w:p>
        </w:tc>
      </w:tr>
      <w:tr w:rsidR="00B936C2" w:rsidRPr="009445B3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9445B3" w:rsidRDefault="00603317" w:rsidP="0060331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445B3">
              <w:rPr>
                <w:rFonts w:ascii="Times New Roman" w:hAnsi="Times New Roman" w:cs="Times New Roman"/>
                <w:b/>
                <w:sz w:val="24"/>
                <w:szCs w:val="24"/>
              </w:rPr>
              <w:t>ARIE YEHUDAH COHEN</w:t>
            </w:r>
            <w:r w:rsidR="00AD6AA5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9445B3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9445B3" w:rsidRDefault="00556E05" w:rsidP="00AD6A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4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CONSULTORES AMBIENTALES Y MULTISERVICIOS S.A.</w:t>
            </w:r>
            <w:r w:rsidR="0059474C" w:rsidRPr="0094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(IRC-031-2005).</w:t>
            </w:r>
          </w:p>
        </w:tc>
      </w:tr>
      <w:tr w:rsidR="00B936C2" w:rsidRPr="009445B3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9445B3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9445B3" w:rsidRDefault="00A24AD8" w:rsidP="007965D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7965D7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PACORA</w:t>
            </w:r>
            <w:r w:rsidR="00B936C2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7965D7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944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9445B3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9445B3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845B77" w:rsidRDefault="00B936C2" w:rsidP="009445B3">
      <w:pPr>
        <w:autoSpaceDE w:val="0"/>
        <w:autoSpaceDN w:val="0"/>
        <w:adjustRightInd w:val="0"/>
        <w:spacing w:after="0" w:line="240" w:lineRule="auto"/>
        <w:jc w:val="both"/>
      </w:pPr>
      <w:r w:rsidRPr="009445B3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603317" w:rsidRPr="009445B3">
        <w:rPr>
          <w:rFonts w:ascii="Times New Roman" w:hAnsi="Times New Roman" w:cs="Times New Roman"/>
          <w:b/>
          <w:sz w:val="24"/>
          <w:szCs w:val="24"/>
        </w:rPr>
        <w:t xml:space="preserve">DRPM </w:t>
      </w:r>
      <w:r w:rsidR="007965D7" w:rsidRPr="009445B3">
        <w:rPr>
          <w:rFonts w:ascii="Times New Roman" w:hAnsi="Times New Roman" w:cs="Times New Roman"/>
          <w:b/>
          <w:sz w:val="24"/>
          <w:szCs w:val="24"/>
        </w:rPr>
        <w:t>-</w:t>
      </w:r>
      <w:r w:rsidR="00603317" w:rsidRPr="009445B3">
        <w:rPr>
          <w:rFonts w:ascii="Times New Roman" w:hAnsi="Times New Roman" w:cs="Times New Roman"/>
          <w:b/>
          <w:sz w:val="24"/>
          <w:szCs w:val="24"/>
        </w:rPr>
        <w:t xml:space="preserve"> IA</w:t>
      </w:r>
      <w:r w:rsidR="00603317" w:rsidRPr="009445B3">
        <w:rPr>
          <w:rFonts w:ascii="Times New Roman" w:hAnsi="Times New Roman" w:cs="Times New Roman"/>
          <w:sz w:val="24"/>
          <w:szCs w:val="24"/>
        </w:rPr>
        <w:t xml:space="preserve"> </w:t>
      </w:r>
      <w:r w:rsidR="007965D7" w:rsidRPr="009445B3">
        <w:rPr>
          <w:rFonts w:ascii="Times New Roman" w:hAnsi="Times New Roman" w:cs="Times New Roman"/>
          <w:sz w:val="24"/>
          <w:szCs w:val="24"/>
        </w:rPr>
        <w:t>-</w:t>
      </w:r>
      <w:r w:rsidR="00603317" w:rsidRPr="009445B3">
        <w:rPr>
          <w:rFonts w:ascii="Times New Roman" w:hAnsi="Times New Roman" w:cs="Times New Roman"/>
          <w:sz w:val="24"/>
          <w:szCs w:val="24"/>
        </w:rPr>
        <w:t xml:space="preserve"> 016-201</w:t>
      </w:r>
      <w:r w:rsidR="00603317" w:rsidRPr="009445B3">
        <w:rPr>
          <w:rFonts w:ascii="Times New Roman" w:hAnsi="Times New Roman" w:cs="Times New Roman"/>
          <w:sz w:val="24"/>
          <w:szCs w:val="24"/>
        </w:rPr>
        <w:t>9 de 5 de Febrero de 2019</w:t>
      </w:r>
      <w:r w:rsidR="00A24AD8" w:rsidRPr="009445B3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9445B3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9445B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03317" w:rsidRPr="009445B3">
        <w:rPr>
          <w:rFonts w:ascii="Times New Roman" w:hAnsi="Times New Roman" w:cs="Times New Roman"/>
          <w:b/>
          <w:sz w:val="24"/>
          <w:szCs w:val="24"/>
        </w:rPr>
        <w:t>MOVIMIENTO DE TIERRA</w:t>
      </w:r>
      <w:r w:rsidR="00603317" w:rsidRPr="009445B3">
        <w:rPr>
          <w:rFonts w:ascii="Times New Roman" w:hAnsi="Times New Roman" w:cs="Times New Roman"/>
          <w:b/>
          <w:sz w:val="24"/>
          <w:szCs w:val="24"/>
        </w:rPr>
        <w:t>, NIVELACIÓN Y CALLES DE ACCESO</w:t>
      </w:r>
      <w:r w:rsidR="00603317" w:rsidRPr="009445B3">
        <w:rPr>
          <w:rFonts w:ascii="Times New Roman" w:hAnsi="Times New Roman" w:cs="Times New Roman"/>
          <w:sz w:val="24"/>
          <w:szCs w:val="24"/>
        </w:rPr>
        <w:t xml:space="preserve">, </w:t>
      </w:r>
      <w:r w:rsidRPr="009445B3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9445B3">
        <w:rPr>
          <w:rFonts w:ascii="Times New Roman" w:hAnsi="Times New Roman" w:cs="Times New Roman"/>
          <w:sz w:val="24"/>
          <w:szCs w:val="24"/>
        </w:rPr>
        <w:t xml:space="preserve"> </w:t>
      </w:r>
      <w:r w:rsidR="00603317" w:rsidRPr="009445B3">
        <w:rPr>
          <w:rFonts w:ascii="Times New Roman" w:hAnsi="Times New Roman" w:cs="Times New Roman"/>
          <w:b/>
          <w:bCs/>
          <w:sz w:val="24"/>
          <w:szCs w:val="24"/>
        </w:rPr>
        <w:t>PROMOTORA BRJ, S.A.</w:t>
      </w:r>
      <w:r w:rsidR="00556E05" w:rsidRPr="009445B3">
        <w:rPr>
          <w:rFonts w:ascii="Times New Roman" w:hAnsi="Times New Roman" w:cs="Times New Roman"/>
          <w:sz w:val="24"/>
          <w:szCs w:val="24"/>
        </w:rPr>
        <w:t xml:space="preserve"> </w:t>
      </w:r>
      <w:r w:rsidR="00556E05" w:rsidRPr="009445B3">
        <w:rPr>
          <w:rFonts w:ascii="Times New Roman" w:hAnsi="Times New Roman" w:cs="Times New Roman"/>
          <w:sz w:val="24"/>
          <w:szCs w:val="24"/>
        </w:rPr>
        <w:t>empresa pa</w:t>
      </w:r>
      <w:r w:rsidR="00556E05" w:rsidRPr="009445B3">
        <w:rPr>
          <w:rFonts w:ascii="Times New Roman" w:hAnsi="Times New Roman" w:cs="Times New Roman"/>
          <w:sz w:val="24"/>
          <w:szCs w:val="24"/>
        </w:rPr>
        <w:t>nameña registrada bajo el Folio</w:t>
      </w:r>
      <w:r w:rsidR="00556E05" w:rsidRPr="009445B3">
        <w:rPr>
          <w:rFonts w:ascii="Times New Roman" w:hAnsi="Times New Roman" w:cs="Times New Roman"/>
          <w:sz w:val="24"/>
          <w:szCs w:val="24"/>
        </w:rPr>
        <w:t>155664157 y cuyo Representante Legal es el</w:t>
      </w:r>
      <w:r w:rsidR="0059474C" w:rsidRPr="009445B3">
        <w:rPr>
          <w:rFonts w:ascii="Times New Roman" w:hAnsi="Times New Roman" w:cs="Times New Roman"/>
          <w:sz w:val="24"/>
          <w:szCs w:val="24"/>
        </w:rPr>
        <w:t xml:space="preserve"> señor </w:t>
      </w:r>
      <w:r w:rsidR="0059474C" w:rsidRPr="009445B3">
        <w:rPr>
          <w:rFonts w:ascii="Times New Roman" w:hAnsi="Times New Roman" w:cs="Times New Roman"/>
          <w:b/>
          <w:sz w:val="24"/>
          <w:szCs w:val="24"/>
        </w:rPr>
        <w:t>ARIE YEHUDAH COHEN</w:t>
      </w:r>
      <w:r w:rsidR="009445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45B3" w:rsidRPr="009445B3">
        <w:rPr>
          <w:rFonts w:ascii="Times New Roman" w:hAnsi="Times New Roman" w:cs="Times New Roman"/>
          <w:sz w:val="24"/>
          <w:szCs w:val="24"/>
        </w:rPr>
        <w:t xml:space="preserve">cédula de </w:t>
      </w:r>
      <w:r w:rsidR="009445B3">
        <w:rPr>
          <w:rFonts w:ascii="Times New Roman" w:hAnsi="Times New Roman" w:cs="Times New Roman"/>
          <w:sz w:val="24"/>
          <w:szCs w:val="24"/>
        </w:rPr>
        <w:t>id</w:t>
      </w:r>
      <w:r w:rsidR="009445B3" w:rsidRPr="009445B3">
        <w:rPr>
          <w:rFonts w:ascii="Times New Roman" w:hAnsi="Times New Roman" w:cs="Times New Roman"/>
          <w:sz w:val="24"/>
          <w:szCs w:val="24"/>
        </w:rPr>
        <w:t>entid</w:t>
      </w:r>
      <w:r w:rsidR="009445B3">
        <w:rPr>
          <w:rFonts w:ascii="Times New Roman" w:hAnsi="Times New Roman" w:cs="Times New Roman"/>
          <w:sz w:val="24"/>
          <w:szCs w:val="24"/>
        </w:rPr>
        <w:t>a</w:t>
      </w:r>
      <w:r w:rsidR="009445B3" w:rsidRPr="009445B3">
        <w:rPr>
          <w:rFonts w:ascii="Times New Roman" w:hAnsi="Times New Roman" w:cs="Times New Roman"/>
          <w:sz w:val="24"/>
          <w:szCs w:val="24"/>
        </w:rPr>
        <w:t>d</w:t>
      </w:r>
      <w:r w:rsidR="00944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5B3" w:rsidRPr="009445B3">
        <w:rPr>
          <w:rFonts w:ascii="Times New Roman" w:hAnsi="Times New Roman" w:cs="Times New Roman"/>
          <w:sz w:val="24"/>
          <w:szCs w:val="24"/>
        </w:rPr>
        <w:t>personal</w:t>
      </w:r>
      <w:r w:rsidR="00944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5B3" w:rsidRPr="00305E7A">
        <w:t>No. E8</w:t>
      </w:r>
      <w:r w:rsidR="009445B3" w:rsidRPr="00305E7A">
        <w:rPr>
          <w:b/>
        </w:rPr>
        <w:t>-</w:t>
      </w:r>
      <w:r w:rsidR="009445B3" w:rsidRPr="00305E7A">
        <w:t>116149</w:t>
      </w:r>
      <w:r w:rsidR="009445B3">
        <w:t>.</w:t>
      </w:r>
    </w:p>
    <w:p w:rsidR="009445B3" w:rsidRPr="009445B3" w:rsidRDefault="009445B3" w:rsidP="00944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B77" w:rsidRPr="009445B3" w:rsidRDefault="00C43F4A" w:rsidP="00C43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aludido proyecto 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>“Movimiento de tierra, Nivelación y calles de acceso”, consta de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>movimiento de tierra (Contempla un relleno de 6,0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00 m3), nivelación del terreno, 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>construcción de calles vehiculares, sistema plu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vial y acueducto, en un lote de 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>terreno de 5 ha + 685.51 m2, el cual busca suplir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 las necesidades de acceso para 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>los futuros pro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yectos de la zona. 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>El proyecto inicia con la adecuación topográfica del área de la finca, realizando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>inicialmente una limpieza del sitio de trabajo, posteriormente se procede con el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>movimiento y nivelación del terreno, la construcción de obras viales las c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 xml:space="preserve">uales se 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>ajustarán a la trama vial de las calles existentes en el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 xml:space="preserve"> área, la cual busca suplir las </w:t>
      </w:r>
      <w:r w:rsidRPr="009445B3">
        <w:rPr>
          <w:rFonts w:ascii="Times New Roman" w:hAnsi="Times New Roman" w:cs="Times New Roman"/>
          <w:color w:val="000000"/>
          <w:sz w:val="24"/>
          <w:szCs w:val="24"/>
        </w:rPr>
        <w:t>necesidades de acceso para los futuros proyectos de la zona.</w:t>
      </w:r>
      <w:r w:rsidRPr="009445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445B3">
        <w:rPr>
          <w:rFonts w:ascii="Times New Roman" w:hAnsi="Times New Roman" w:cs="Times New Roman"/>
          <w:sz w:val="24"/>
          <w:szCs w:val="24"/>
        </w:rPr>
        <w:t>Conjunto con las</w:t>
      </w:r>
      <w:r w:rsidRPr="009445B3">
        <w:rPr>
          <w:rFonts w:ascii="Times New Roman" w:hAnsi="Times New Roman" w:cs="Times New Roman"/>
          <w:sz w:val="24"/>
          <w:szCs w:val="24"/>
        </w:rPr>
        <w:t xml:space="preserve"> </w:t>
      </w:r>
      <w:r w:rsidRPr="009445B3">
        <w:rPr>
          <w:rFonts w:ascii="Times New Roman" w:hAnsi="Times New Roman" w:cs="Times New Roman"/>
          <w:sz w:val="24"/>
          <w:szCs w:val="24"/>
        </w:rPr>
        <w:t>estructuras viales, se contempla la construcción del sistema pluvial y línea de</w:t>
      </w:r>
      <w:r w:rsidRPr="009445B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445B3">
        <w:rPr>
          <w:rFonts w:ascii="Times New Roman" w:hAnsi="Times New Roman" w:cs="Times New Roman"/>
          <w:sz w:val="24"/>
          <w:szCs w:val="24"/>
        </w:rPr>
        <w:t>acueducto.</w:t>
      </w:r>
    </w:p>
    <w:p w:rsidR="00C43F4A" w:rsidRPr="009445B3" w:rsidRDefault="00C43F4A" w:rsidP="00C43F4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522391" w:rsidRPr="009445B3" w:rsidRDefault="00522391" w:rsidP="002E283E">
      <w:pPr>
        <w:pStyle w:val="Textoindependiente2"/>
        <w:tabs>
          <w:tab w:val="left" w:pos="1134"/>
          <w:tab w:val="left" w:pos="1418"/>
        </w:tabs>
        <w:spacing w:after="0" w:line="276" w:lineRule="auto"/>
        <w:jc w:val="both"/>
        <w:rPr>
          <w:b/>
          <w:i/>
        </w:rPr>
      </w:pPr>
      <w:r w:rsidRPr="009445B3">
        <w:rPr>
          <w:lang w:val="es-ES"/>
        </w:rPr>
        <w:t xml:space="preserve">Que el día </w:t>
      </w:r>
      <w:r w:rsidR="002E283E" w:rsidRPr="009445B3">
        <w:rPr>
          <w:lang w:val="es-ES"/>
        </w:rPr>
        <w:t>13</w:t>
      </w:r>
      <w:r w:rsidRPr="009445B3">
        <w:rPr>
          <w:lang w:val="es-ES"/>
        </w:rPr>
        <w:t xml:space="preserve"> de </w:t>
      </w:r>
      <w:r w:rsidR="002E283E" w:rsidRPr="009445B3">
        <w:rPr>
          <w:lang w:val="es-ES"/>
        </w:rPr>
        <w:t>agosto</w:t>
      </w:r>
      <w:r w:rsidR="00490BD8" w:rsidRPr="009445B3">
        <w:rPr>
          <w:lang w:val="es-ES"/>
        </w:rPr>
        <w:t xml:space="preserve"> </w:t>
      </w:r>
      <w:r w:rsidRPr="009445B3">
        <w:rPr>
          <w:lang w:val="es-ES"/>
        </w:rPr>
        <w:t xml:space="preserve">del 2019 se recibió </w:t>
      </w:r>
      <w:r w:rsidR="006C74D5" w:rsidRPr="009445B3">
        <w:rPr>
          <w:lang w:val="es-ES"/>
        </w:rPr>
        <w:t xml:space="preserve">a través del sistema de </w:t>
      </w:r>
      <w:r w:rsidR="006C74D5" w:rsidRPr="009445B3">
        <w:rPr>
          <w:b/>
          <w:lang w:val="es-ES"/>
        </w:rPr>
        <w:t>PREFASIA</w:t>
      </w:r>
      <w:r w:rsidR="006C74D5" w:rsidRPr="009445B3">
        <w:rPr>
          <w:lang w:val="es-ES"/>
        </w:rPr>
        <w:t xml:space="preserve">, la </w:t>
      </w:r>
      <w:r w:rsidRPr="009445B3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9445B3">
        <w:rPr>
          <w:lang w:val="es-ES"/>
        </w:rPr>
        <w:t xml:space="preserve">por parte de la empresa </w:t>
      </w:r>
      <w:r w:rsidR="00603317" w:rsidRPr="009445B3">
        <w:rPr>
          <w:b/>
          <w:bCs/>
        </w:rPr>
        <w:t>PROMOTORA BRJ, S.A.</w:t>
      </w:r>
      <w:r w:rsidR="00DA14D1" w:rsidRPr="009445B3">
        <w:rPr>
          <w:b/>
          <w:bCs/>
        </w:rPr>
        <w:t xml:space="preserve"> </w:t>
      </w:r>
    </w:p>
    <w:p w:rsidR="00821B55" w:rsidRPr="009445B3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es-ES" w:eastAsia="es-ES"/>
        </w:rPr>
      </w:pP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9445B3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90BD8" w:rsidRPr="009445B3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9445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3F4A" w:rsidRPr="009445B3" w:rsidRDefault="00C43F4A" w:rsidP="00C43F4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5B3">
        <w:rPr>
          <w:rFonts w:ascii="Times New Roman" w:hAnsi="Times New Roman" w:cs="Times New Roman"/>
          <w:b/>
          <w:bCs/>
          <w:sz w:val="24"/>
          <w:szCs w:val="24"/>
        </w:rPr>
        <w:t>1. Reubicar la calle de acceso al proyecto y calles internas.</w:t>
      </w:r>
    </w:p>
    <w:p w:rsidR="00B936C2" w:rsidRPr="009445B3" w:rsidRDefault="00C43F4A" w:rsidP="00C43F4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45B3">
        <w:rPr>
          <w:rFonts w:ascii="Times New Roman" w:hAnsi="Times New Roman" w:cs="Times New Roman"/>
          <w:sz w:val="24"/>
          <w:szCs w:val="24"/>
        </w:rPr>
        <w:t>R</w:t>
      </w:r>
      <w:r w:rsidRPr="009445B3">
        <w:rPr>
          <w:rFonts w:ascii="Times New Roman" w:hAnsi="Times New Roman" w:cs="Times New Roman"/>
          <w:sz w:val="24"/>
          <w:szCs w:val="24"/>
        </w:rPr>
        <w:t>edistribuir las calles internas del Proyecto y</w:t>
      </w:r>
      <w:r w:rsidRPr="009445B3">
        <w:rPr>
          <w:rFonts w:ascii="Times New Roman" w:hAnsi="Times New Roman" w:cs="Times New Roman"/>
          <w:sz w:val="24"/>
          <w:szCs w:val="24"/>
        </w:rPr>
        <w:t xml:space="preserve"> reubicar la calle de acceso al </w:t>
      </w:r>
      <w:r w:rsidRPr="009445B3">
        <w:rPr>
          <w:rFonts w:ascii="Times New Roman" w:hAnsi="Times New Roman" w:cs="Times New Roman"/>
          <w:sz w:val="24"/>
          <w:szCs w:val="24"/>
        </w:rPr>
        <w:t>Proyecto “</w:t>
      </w:r>
      <w:r w:rsidRPr="009445B3">
        <w:rPr>
          <w:rFonts w:ascii="Times New Roman" w:hAnsi="Times New Roman" w:cs="Times New Roman"/>
          <w:b/>
          <w:i/>
          <w:sz w:val="24"/>
          <w:szCs w:val="24"/>
        </w:rPr>
        <w:t>Movimiento de tierra, Nivelación y ca</w:t>
      </w:r>
      <w:r w:rsidRPr="009445B3">
        <w:rPr>
          <w:rFonts w:ascii="Times New Roman" w:hAnsi="Times New Roman" w:cs="Times New Roman"/>
          <w:b/>
          <w:i/>
          <w:sz w:val="24"/>
          <w:szCs w:val="24"/>
        </w:rPr>
        <w:t>lles de acceso</w:t>
      </w:r>
      <w:r w:rsidRPr="009445B3">
        <w:rPr>
          <w:rFonts w:ascii="Times New Roman" w:hAnsi="Times New Roman" w:cs="Times New Roman"/>
          <w:sz w:val="24"/>
          <w:szCs w:val="24"/>
        </w:rPr>
        <w:t xml:space="preserve">”, la cual estará </w:t>
      </w:r>
      <w:r w:rsidRPr="009445B3">
        <w:rPr>
          <w:rFonts w:ascii="Times New Roman" w:hAnsi="Times New Roman" w:cs="Times New Roman"/>
          <w:sz w:val="24"/>
          <w:szCs w:val="24"/>
        </w:rPr>
        <w:t>ubicada dentro de una nuev</w:t>
      </w:r>
      <w:r w:rsidRPr="009445B3">
        <w:rPr>
          <w:rFonts w:ascii="Times New Roman" w:hAnsi="Times New Roman" w:cs="Times New Roman"/>
          <w:sz w:val="24"/>
          <w:szCs w:val="24"/>
        </w:rPr>
        <w:t xml:space="preserve">a finca colindante al Proyecto. </w:t>
      </w:r>
      <w:r w:rsidRPr="009445B3">
        <w:rPr>
          <w:rFonts w:ascii="Times New Roman" w:hAnsi="Times New Roman" w:cs="Times New Roman"/>
          <w:sz w:val="24"/>
          <w:szCs w:val="24"/>
        </w:rPr>
        <w:t>Este cambio en la ubicación de la calle de ac</w:t>
      </w:r>
      <w:r w:rsidRPr="009445B3">
        <w:rPr>
          <w:rFonts w:ascii="Times New Roman" w:hAnsi="Times New Roman" w:cs="Times New Roman"/>
          <w:sz w:val="24"/>
          <w:szCs w:val="24"/>
        </w:rPr>
        <w:t xml:space="preserve">ceso al Proyecto, se realiza en </w:t>
      </w:r>
      <w:r w:rsidRPr="009445B3">
        <w:rPr>
          <w:rFonts w:ascii="Times New Roman" w:hAnsi="Times New Roman" w:cs="Times New Roman"/>
          <w:sz w:val="24"/>
          <w:szCs w:val="24"/>
        </w:rPr>
        <w:t>base a que el promotor del Proyecto, para evitar inconvenientes</w:t>
      </w:r>
      <w:r w:rsidRPr="009445B3">
        <w:rPr>
          <w:rFonts w:ascii="Times New Roman" w:hAnsi="Times New Roman" w:cs="Times New Roman"/>
          <w:sz w:val="24"/>
          <w:szCs w:val="24"/>
        </w:rPr>
        <w:t xml:space="preserve"> por el paso </w:t>
      </w:r>
      <w:r w:rsidRPr="009445B3">
        <w:rPr>
          <w:rFonts w:ascii="Times New Roman" w:hAnsi="Times New Roman" w:cs="Times New Roman"/>
          <w:sz w:val="24"/>
          <w:szCs w:val="24"/>
        </w:rPr>
        <w:t>de maquinaria pesada, rediseñó el acceso ubi</w:t>
      </w:r>
      <w:r w:rsidRPr="009445B3">
        <w:rPr>
          <w:rFonts w:ascii="Times New Roman" w:hAnsi="Times New Roman" w:cs="Times New Roman"/>
          <w:sz w:val="24"/>
          <w:szCs w:val="24"/>
        </w:rPr>
        <w:t xml:space="preserve">cándolo en una finca colindante </w:t>
      </w:r>
      <w:r w:rsidRPr="009445B3">
        <w:rPr>
          <w:rFonts w:ascii="Times New Roman" w:hAnsi="Times New Roman" w:cs="Times New Roman"/>
          <w:sz w:val="24"/>
          <w:szCs w:val="24"/>
        </w:rPr>
        <w:t>al proyecto (Predio N° 06111 adquirida med</w:t>
      </w:r>
      <w:r w:rsidRPr="009445B3">
        <w:rPr>
          <w:rFonts w:ascii="Times New Roman" w:hAnsi="Times New Roman" w:cs="Times New Roman"/>
          <w:sz w:val="24"/>
          <w:szCs w:val="24"/>
        </w:rPr>
        <w:t xml:space="preserve">iante contrato), donde la calle </w:t>
      </w:r>
      <w:r w:rsidRPr="009445B3">
        <w:rPr>
          <w:rFonts w:ascii="Times New Roman" w:hAnsi="Times New Roman" w:cs="Times New Roman"/>
          <w:sz w:val="24"/>
          <w:szCs w:val="24"/>
        </w:rPr>
        <w:t>existente (Calle “C”) se extiende en 50 metro</w:t>
      </w:r>
      <w:r w:rsidRPr="009445B3">
        <w:rPr>
          <w:rFonts w:ascii="Times New Roman" w:hAnsi="Times New Roman" w:cs="Times New Roman"/>
          <w:sz w:val="24"/>
          <w:szCs w:val="24"/>
        </w:rPr>
        <w:t xml:space="preserve">s hasta unirse a Calle 1era del </w:t>
      </w:r>
      <w:r w:rsidRPr="009445B3">
        <w:rPr>
          <w:rFonts w:ascii="Times New Roman" w:hAnsi="Times New Roman" w:cs="Times New Roman"/>
          <w:sz w:val="24"/>
          <w:szCs w:val="24"/>
        </w:rPr>
        <w:t>Proyecto aprobad</w:t>
      </w:r>
      <w:r w:rsidRPr="009445B3">
        <w:rPr>
          <w:rFonts w:ascii="Times New Roman" w:hAnsi="Times New Roman" w:cs="Times New Roman"/>
          <w:sz w:val="24"/>
          <w:szCs w:val="24"/>
        </w:rPr>
        <w:t xml:space="preserve">o. </w:t>
      </w:r>
      <w:r w:rsidRPr="009445B3">
        <w:rPr>
          <w:rFonts w:ascii="Times New Roman" w:hAnsi="Times New Roman" w:cs="Times New Roman"/>
          <w:sz w:val="24"/>
          <w:szCs w:val="24"/>
        </w:rPr>
        <w:t xml:space="preserve">La nueva calle de acceso al </w:t>
      </w:r>
      <w:r w:rsidRPr="009445B3">
        <w:rPr>
          <w:rFonts w:ascii="Times New Roman" w:hAnsi="Times New Roman" w:cs="Times New Roman"/>
          <w:sz w:val="24"/>
          <w:szCs w:val="24"/>
        </w:rPr>
        <w:t>polígono</w:t>
      </w:r>
      <w:r w:rsidRPr="009445B3">
        <w:rPr>
          <w:rFonts w:ascii="Times New Roman" w:hAnsi="Times New Roman" w:cs="Times New Roman"/>
          <w:sz w:val="24"/>
          <w:szCs w:val="24"/>
        </w:rPr>
        <w:t xml:space="preserve"> del Pr</w:t>
      </w:r>
      <w:r w:rsidRPr="009445B3">
        <w:rPr>
          <w:rFonts w:ascii="Times New Roman" w:hAnsi="Times New Roman" w:cs="Times New Roman"/>
          <w:sz w:val="24"/>
          <w:szCs w:val="24"/>
        </w:rPr>
        <w:t xml:space="preserve">oyecto, la cual se extenderá en </w:t>
      </w:r>
      <w:r w:rsidRPr="009445B3">
        <w:rPr>
          <w:rFonts w:ascii="Times New Roman" w:hAnsi="Times New Roman" w:cs="Times New Roman"/>
          <w:sz w:val="24"/>
          <w:szCs w:val="24"/>
        </w:rPr>
        <w:t xml:space="preserve">50 metros, tiene como </w:t>
      </w:r>
      <w:r w:rsidRPr="009445B3">
        <w:rPr>
          <w:rFonts w:ascii="Times New Roman" w:hAnsi="Times New Roman" w:cs="Times New Roman"/>
          <w:sz w:val="24"/>
          <w:szCs w:val="24"/>
        </w:rPr>
        <w:t>característica</w:t>
      </w:r>
      <w:r w:rsidRPr="009445B3">
        <w:rPr>
          <w:rFonts w:ascii="Times New Roman" w:hAnsi="Times New Roman" w:cs="Times New Roman"/>
          <w:sz w:val="24"/>
          <w:szCs w:val="24"/>
        </w:rPr>
        <w:t xml:space="preserve"> que pr</w:t>
      </w:r>
      <w:r w:rsidRPr="009445B3">
        <w:rPr>
          <w:rFonts w:ascii="Times New Roman" w:hAnsi="Times New Roman" w:cs="Times New Roman"/>
          <w:sz w:val="24"/>
          <w:szCs w:val="24"/>
        </w:rPr>
        <w:t xml:space="preserve">esenta doble carril, la cual no </w:t>
      </w:r>
      <w:r w:rsidRPr="009445B3">
        <w:rPr>
          <w:rFonts w:ascii="Times New Roman" w:hAnsi="Times New Roman" w:cs="Times New Roman"/>
          <w:sz w:val="24"/>
          <w:szCs w:val="24"/>
        </w:rPr>
        <w:t>ocasionará problemas de acceso de los camio</w:t>
      </w:r>
      <w:r w:rsidRPr="009445B3">
        <w:rPr>
          <w:rFonts w:ascii="Times New Roman" w:hAnsi="Times New Roman" w:cs="Times New Roman"/>
          <w:sz w:val="24"/>
          <w:szCs w:val="24"/>
        </w:rPr>
        <w:t xml:space="preserve">nes y no afectará a los vecinos del proyecto. </w:t>
      </w:r>
      <w:r w:rsidRPr="009445B3">
        <w:rPr>
          <w:rFonts w:ascii="Times New Roman" w:hAnsi="Times New Roman" w:cs="Times New Roman"/>
          <w:sz w:val="24"/>
          <w:szCs w:val="24"/>
        </w:rPr>
        <w:t>La redistribución de las calles internas se o</w:t>
      </w:r>
      <w:r w:rsidRPr="009445B3">
        <w:rPr>
          <w:rFonts w:ascii="Times New Roman" w:hAnsi="Times New Roman" w:cs="Times New Roman"/>
          <w:sz w:val="24"/>
          <w:szCs w:val="24"/>
        </w:rPr>
        <w:t xml:space="preserve">rigina en base a que se incluyó </w:t>
      </w:r>
      <w:r w:rsidRPr="009445B3">
        <w:rPr>
          <w:rFonts w:ascii="Times New Roman" w:hAnsi="Times New Roman" w:cs="Times New Roman"/>
          <w:sz w:val="24"/>
          <w:szCs w:val="24"/>
        </w:rPr>
        <w:t xml:space="preserve">dentro del diseño tres (3) calles secundarias </w:t>
      </w:r>
      <w:r w:rsidRPr="009445B3">
        <w:rPr>
          <w:rFonts w:ascii="Times New Roman" w:hAnsi="Times New Roman" w:cs="Times New Roman"/>
          <w:sz w:val="24"/>
          <w:szCs w:val="24"/>
        </w:rPr>
        <w:t xml:space="preserve">adicionales a las cuatro (4) ya </w:t>
      </w:r>
      <w:r w:rsidRPr="009445B3">
        <w:rPr>
          <w:rFonts w:ascii="Times New Roman" w:hAnsi="Times New Roman" w:cs="Times New Roman"/>
          <w:sz w:val="24"/>
          <w:szCs w:val="24"/>
        </w:rPr>
        <w:t>aprobadas.</w:t>
      </w:r>
      <w:r w:rsidR="00441064" w:rsidRPr="009445B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  <w:t xml:space="preserve"> </w:t>
      </w:r>
    </w:p>
    <w:p w:rsidR="007965D7" w:rsidRPr="009445B3" w:rsidRDefault="007965D7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bookmarkStart w:id="0" w:name="_GoBack"/>
      <w:bookmarkEnd w:id="0"/>
    </w:p>
    <w:p w:rsidR="00B936C2" w:rsidRPr="009445B3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lastRenderedPageBreak/>
        <w:t>CONCLUSIONES:</w:t>
      </w:r>
    </w:p>
    <w:p w:rsidR="003F2E30" w:rsidRPr="009445B3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9445B3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9445B3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9445B3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9445B3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9445B3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9445B3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9445B3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9445B3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9445B3" w:rsidRDefault="00B936C2" w:rsidP="002B2202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445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9445B3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9445B3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9445B3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9445B3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F850F0" w:rsidRPr="009445B3">
        <w:rPr>
          <w:rFonts w:ascii="Times New Roman" w:hAnsi="Times New Roman" w:cs="Times New Roman"/>
          <w:b/>
          <w:sz w:val="24"/>
          <w:szCs w:val="24"/>
        </w:rPr>
        <w:t>MOVIMIENTO DE TIERRA</w:t>
      </w:r>
      <w:r w:rsidR="00F850F0" w:rsidRPr="009445B3">
        <w:rPr>
          <w:rFonts w:ascii="Times New Roman" w:hAnsi="Times New Roman" w:cs="Times New Roman"/>
          <w:b/>
          <w:sz w:val="24"/>
          <w:szCs w:val="24"/>
        </w:rPr>
        <w:t>, NIVELACIÓN Y CALLES DE ACCESO</w:t>
      </w:r>
      <w:r w:rsidRPr="009445B3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9445B3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9445B3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441064" w:rsidRPr="009445B3">
        <w:rPr>
          <w:rFonts w:ascii="Times New Roman" w:hAnsi="Times New Roman" w:cs="Times New Roman"/>
          <w:sz w:val="24"/>
          <w:szCs w:val="24"/>
        </w:rPr>
        <w:t>DRPM-IA016-2019, de 5 de Febrero de 2019,</w:t>
      </w:r>
      <w:r w:rsidRPr="009445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445B3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9445B3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59474C" w:rsidRPr="009445B3" w:rsidRDefault="0059474C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9445B3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A28B0" wp14:editId="1547D662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9445B3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83D8C" wp14:editId="715E1CCA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9445B3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9445B3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445B3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445B3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445B3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445B3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445B3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9445B3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9445B3" w:rsidRDefault="003F1813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9445B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9445B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9445B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9445B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9445B3" w:rsidRDefault="00B936C2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9445B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9445B3" w:rsidRDefault="00537CDC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9445B3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DC" w:rsidRDefault="00537CDC" w:rsidP="00FF6799">
      <w:pPr>
        <w:spacing w:after="0" w:line="240" w:lineRule="auto"/>
      </w:pPr>
      <w:r>
        <w:separator/>
      </w:r>
    </w:p>
  </w:endnote>
  <w:endnote w:type="continuationSeparator" w:id="0">
    <w:p w:rsidR="00537CDC" w:rsidRDefault="00537CDC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DC" w:rsidRDefault="00537CDC" w:rsidP="00FF6799">
      <w:pPr>
        <w:spacing w:after="0" w:line="240" w:lineRule="auto"/>
      </w:pPr>
      <w:r>
        <w:separator/>
      </w:r>
    </w:p>
  </w:footnote>
  <w:footnote w:type="continuationSeparator" w:id="0">
    <w:p w:rsidR="00537CDC" w:rsidRDefault="00537CDC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3292A"/>
    <w:rsid w:val="0004764F"/>
    <w:rsid w:val="000A0802"/>
    <w:rsid w:val="000C3208"/>
    <w:rsid w:val="00130885"/>
    <w:rsid w:val="00185206"/>
    <w:rsid w:val="00191DE9"/>
    <w:rsid w:val="001A2286"/>
    <w:rsid w:val="00200377"/>
    <w:rsid w:val="00207EDD"/>
    <w:rsid w:val="002653CC"/>
    <w:rsid w:val="002B2202"/>
    <w:rsid w:val="002E283E"/>
    <w:rsid w:val="002F53E4"/>
    <w:rsid w:val="003144A3"/>
    <w:rsid w:val="0039345E"/>
    <w:rsid w:val="003F1813"/>
    <w:rsid w:val="003F2E30"/>
    <w:rsid w:val="00401EEF"/>
    <w:rsid w:val="00407C7C"/>
    <w:rsid w:val="00415C47"/>
    <w:rsid w:val="00441064"/>
    <w:rsid w:val="00452E7A"/>
    <w:rsid w:val="00465FC0"/>
    <w:rsid w:val="00490BD8"/>
    <w:rsid w:val="004C5007"/>
    <w:rsid w:val="004D71F8"/>
    <w:rsid w:val="00522391"/>
    <w:rsid w:val="00537CDC"/>
    <w:rsid w:val="00556E05"/>
    <w:rsid w:val="0059474C"/>
    <w:rsid w:val="005B1D29"/>
    <w:rsid w:val="005E13AB"/>
    <w:rsid w:val="005E773B"/>
    <w:rsid w:val="005F056C"/>
    <w:rsid w:val="00603317"/>
    <w:rsid w:val="00605DB7"/>
    <w:rsid w:val="00624322"/>
    <w:rsid w:val="0065415B"/>
    <w:rsid w:val="006B2C43"/>
    <w:rsid w:val="006C74D5"/>
    <w:rsid w:val="006E5C8F"/>
    <w:rsid w:val="00767FDA"/>
    <w:rsid w:val="007965D7"/>
    <w:rsid w:val="007E76E1"/>
    <w:rsid w:val="00821B55"/>
    <w:rsid w:val="0083412B"/>
    <w:rsid w:val="00845B77"/>
    <w:rsid w:val="009012C2"/>
    <w:rsid w:val="00943299"/>
    <w:rsid w:val="009445B3"/>
    <w:rsid w:val="00982F68"/>
    <w:rsid w:val="009A0BEF"/>
    <w:rsid w:val="009A1CA2"/>
    <w:rsid w:val="00A24AD8"/>
    <w:rsid w:val="00A731BE"/>
    <w:rsid w:val="00AD6AA5"/>
    <w:rsid w:val="00B449C7"/>
    <w:rsid w:val="00B936C2"/>
    <w:rsid w:val="00BC150D"/>
    <w:rsid w:val="00C432F0"/>
    <w:rsid w:val="00C43F4A"/>
    <w:rsid w:val="00DA14D1"/>
    <w:rsid w:val="00E2480B"/>
    <w:rsid w:val="00E51E79"/>
    <w:rsid w:val="00E73303"/>
    <w:rsid w:val="00E84FE2"/>
    <w:rsid w:val="00EC7A96"/>
    <w:rsid w:val="00F01D3C"/>
    <w:rsid w:val="00F850F0"/>
    <w:rsid w:val="00FD133E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D6B7-3B9A-432A-9B14-502B5AAC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40</cp:revision>
  <cp:lastPrinted>2019-08-14T19:32:00Z</cp:lastPrinted>
  <dcterms:created xsi:type="dcterms:W3CDTF">2019-04-22T16:01:00Z</dcterms:created>
  <dcterms:modified xsi:type="dcterms:W3CDTF">2019-08-21T15:02:00Z</dcterms:modified>
</cp:coreProperties>
</file>