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DC" w:rsidRDefault="00FE06DC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ADENDA #2. CONTRATO DIAC-AL- 14 – 17. “REHABILITACIÓN DE LOS CAMINOS DE AGUA BUENA, CORREGIMIENTOS DE CAÑAS Y EL CACAO, DISTRITO DE TONOSÍ. PROVINCIA DE LOS SANTOS.</w:t>
      </w:r>
    </w:p>
    <w:p w:rsidR="00820EED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MINISTERIO DE OBRAS PÚBLICAS.</w:t>
      </w:r>
    </w:p>
    <w:p w:rsidR="00820EE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DRLS-I-F-12-2019.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6 DE SEPTIEMBRE DE 2019.</w:t>
      </w:r>
    </w:p>
    <w:p w:rsidR="00FB3434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820EED">
        <w:rPr>
          <w:rFonts w:ascii="Times New Roman" w:hAnsi="Times New Roman" w:cs="Times New Roman"/>
          <w:b/>
          <w:sz w:val="20"/>
          <w:szCs w:val="20"/>
        </w:rPr>
        <w:t xml:space="preserve">OTILIA SANCHEZ - </w:t>
      </w:r>
      <w:r w:rsidR="00820EED" w:rsidRPr="00820EED">
        <w:rPr>
          <w:rFonts w:ascii="Times New Roman" w:hAnsi="Times New Roman" w:cs="Times New Roman"/>
          <w:b/>
          <w:sz w:val="20"/>
          <w:szCs w:val="20"/>
        </w:rPr>
        <w:t>IAR-035-2000</w:t>
      </w:r>
      <w:r w:rsidR="00820EED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820EED" w:rsidRPr="00820EED">
        <w:rPr>
          <w:rFonts w:ascii="Times New Roman" w:hAnsi="Times New Roman" w:cs="Times New Roman"/>
          <w:b/>
          <w:sz w:val="20"/>
          <w:szCs w:val="20"/>
        </w:rPr>
        <w:t>LUIS</w:t>
      </w:r>
      <w:r w:rsidR="00820EED">
        <w:rPr>
          <w:rFonts w:ascii="Times New Roman" w:hAnsi="Times New Roman" w:cs="Times New Roman"/>
          <w:b/>
          <w:sz w:val="20"/>
          <w:szCs w:val="20"/>
        </w:rPr>
        <w:t xml:space="preserve"> QUIJADA - </w:t>
      </w:r>
      <w:r w:rsidR="00820EED" w:rsidRPr="00820EED">
        <w:rPr>
          <w:rFonts w:ascii="Times New Roman" w:hAnsi="Times New Roman" w:cs="Times New Roman"/>
          <w:b/>
          <w:sz w:val="20"/>
          <w:szCs w:val="20"/>
        </w:rPr>
        <w:t>IAR-051-98</w:t>
      </w:r>
    </w:p>
    <w:p w:rsidR="00BB0BCD" w:rsidRPr="00BB0BCD" w:rsidRDefault="00BB0BCD" w:rsidP="00FB343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0D" w:rsidRDefault="008E3B0D">
      <w:pPr>
        <w:spacing w:after="0" w:line="240" w:lineRule="auto"/>
      </w:pPr>
      <w:r>
        <w:separator/>
      </w:r>
    </w:p>
  </w:endnote>
  <w:endnote w:type="continuationSeparator" w:id="0">
    <w:p w:rsidR="008E3B0D" w:rsidRDefault="008E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0D" w:rsidRDefault="008E3B0D">
      <w:pPr>
        <w:spacing w:after="0" w:line="240" w:lineRule="auto"/>
      </w:pPr>
      <w:r>
        <w:separator/>
      </w:r>
    </w:p>
  </w:footnote>
  <w:footnote w:type="continuationSeparator" w:id="0">
    <w:p w:rsidR="008E3B0D" w:rsidRDefault="008E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FE06DC" w:rsidP="00FE06DC">
    <w:pPr>
      <w:pStyle w:val="Encabezado"/>
      <w:jc w:val="center"/>
    </w:pPr>
    <w:r w:rsidRPr="00FE06DC">
      <w:rPr>
        <w:rFonts w:ascii="Times New Roman" w:eastAsia="Times New Roman" w:hAnsi="Times New Roman" w:cs="Times New Roman"/>
        <w:noProof/>
        <w:sz w:val="20"/>
        <w:szCs w:val="20"/>
        <w:lang w:eastAsia="es-PA"/>
      </w:rPr>
      <w:drawing>
        <wp:inline distT="0" distB="0" distL="0" distR="0" wp14:anchorId="5AA57378" wp14:editId="184BA0A2">
          <wp:extent cx="3244849" cy="1390650"/>
          <wp:effectExtent l="0" t="0" r="0" b="0"/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49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20CA1"/>
    <w:rsid w:val="00456E66"/>
    <w:rsid w:val="004A420A"/>
    <w:rsid w:val="00621124"/>
    <w:rsid w:val="00727777"/>
    <w:rsid w:val="00783A93"/>
    <w:rsid w:val="007C391F"/>
    <w:rsid w:val="007D1822"/>
    <w:rsid w:val="007D7483"/>
    <w:rsid w:val="007F628F"/>
    <w:rsid w:val="008044AD"/>
    <w:rsid w:val="00820EED"/>
    <w:rsid w:val="008E3B0D"/>
    <w:rsid w:val="00946579"/>
    <w:rsid w:val="009F07DB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5680C"/>
    <w:rsid w:val="00EC5CF7"/>
    <w:rsid w:val="00F300ED"/>
    <w:rsid w:val="00FB3434"/>
    <w:rsid w:val="00FE06DC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9</cp:revision>
  <cp:lastPrinted>2019-07-05T15:46:00Z</cp:lastPrinted>
  <dcterms:created xsi:type="dcterms:W3CDTF">2019-07-08T15:20:00Z</dcterms:created>
  <dcterms:modified xsi:type="dcterms:W3CDTF">2019-09-09T19:20:00Z</dcterms:modified>
</cp:coreProperties>
</file>