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Times New Roman" w:hAnsi="Times New Roman" w:eastAsia="Calibri" w:cs="Times New Roman"/>
          <w:b/>
          <w:sz w:val="24"/>
          <w:szCs w:val="24"/>
          <w:lang w:val="es-ES"/>
        </w:rPr>
      </w:pPr>
      <w:bookmarkStart w:id="0" w:name="_GoBack"/>
      <w:bookmarkEnd w:id="0"/>
      <w:r>
        <w:rPr>
          <w:rFonts w:ascii="Times New Roman" w:hAnsi="Times New Roman" w:eastAsia="Calibri" w:cs="Times New Roman"/>
          <w:b/>
          <w:sz w:val="24"/>
          <w:szCs w:val="24"/>
          <w:lang w:val="es-ES"/>
        </w:rPr>
        <w:t>REPÚBLICA DE PANAMÁ</w:t>
      </w:r>
    </w:p>
    <w:p>
      <w:pPr>
        <w:spacing w:after="24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DRLS-IA___- 2019</w:t>
      </w:r>
    </w:p>
    <w:p>
      <w:pPr>
        <w:spacing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_____ de _____________ de 2019   </w:t>
      </w:r>
    </w:p>
    <w:p>
      <w:pPr>
        <w:spacing w:after="12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w:t>
      </w:r>
    </w:p>
    <w:p>
      <w:pPr>
        <w:spacing w:after="0"/>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lang w:val="es-MX"/>
        </w:rPr>
        <w:t>ESTACIÓN DE SERVICIO Y LOCAL COMERCIAL</w:t>
      </w:r>
      <w:r>
        <w:rPr>
          <w:rFonts w:ascii="Times New Roman" w:hAnsi="Times New Roman" w:cs="Times New Roman"/>
          <w:b/>
          <w:sz w:val="24"/>
          <w:szCs w:val="24"/>
        </w:rPr>
        <w:t>”.</w:t>
      </w:r>
    </w:p>
    <w:p>
      <w:pPr>
        <w:spacing w:after="0"/>
        <w:jc w:val="both"/>
        <w:rPr>
          <w:rFonts w:ascii="Times New Roman" w:hAnsi="Times New Roman" w:eastAsia="Calibri" w:cs="Times New Roman"/>
          <w:b/>
          <w:sz w:val="24"/>
          <w:szCs w:val="24"/>
        </w:rPr>
      </w:pPr>
    </w:p>
    <w:p>
      <w:pPr>
        <w:rPr>
          <w:rFonts w:ascii="Times New Roman" w:hAnsi="Times New Roman" w:cs="Times New Roman"/>
          <w:color w:val="000000"/>
          <w:sz w:val="24"/>
          <w:szCs w:val="24"/>
        </w:rPr>
      </w:pPr>
      <w:r>
        <w:rPr>
          <w:rFonts w:ascii="Times New Roman" w:hAnsi="Times New Roman" w:cs="Times New Roman"/>
          <w:color w:val="000000"/>
          <w:sz w:val="24"/>
          <w:szCs w:val="24"/>
        </w:rPr>
        <w:t>La suscrita Directora de Regional del Ministerio de Ambiente de Los Santos, en uso de sus facultades legales, y;</w:t>
      </w:r>
    </w:p>
    <w:p>
      <w:pPr>
        <w:spacing w:after="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jc w:val="center"/>
        <w:rPr>
          <w:rFonts w:ascii="Times New Roman" w:hAnsi="Times New Roman" w:eastAsia="Calibri" w:cs="Times New Roman"/>
          <w:b/>
          <w:sz w:val="24"/>
          <w:szCs w:val="24"/>
          <w:lang w:val="es-ES"/>
        </w:rPr>
      </w:pPr>
    </w:p>
    <w:p>
      <w:pPr>
        <w:autoSpaceDE w:val="0"/>
        <w:autoSpaceDN w:val="0"/>
        <w:adjustRightInd w:val="0"/>
        <w:spacing w:after="0"/>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w:t>
      </w:r>
      <w:r>
        <w:rPr>
          <w:rFonts w:ascii="Times New Roman" w:hAnsi="Times New Roman" w:eastAsia="Times New Roman" w:cs="Times New Roman"/>
          <w:spacing w:val="-3"/>
          <w:sz w:val="24"/>
          <w:szCs w:val="24"/>
          <w:lang w:val="es-MX" w:eastAsia="es-ES"/>
        </w:rPr>
        <w:t>el</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Señor </w:t>
      </w:r>
      <w:r>
        <w:rPr>
          <w:rFonts w:ascii="Times New Roman" w:hAnsi="Times New Roman" w:eastAsia="Times New Roman" w:cs="Times New Roman"/>
          <w:b/>
          <w:bCs/>
          <w:spacing w:val="-3"/>
          <w:sz w:val="24"/>
          <w:szCs w:val="24"/>
          <w:lang w:eastAsia="es-ES"/>
        </w:rPr>
        <w:t>EDWIN I. CANO S,</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MX" w:eastAsia="es-ES"/>
        </w:rPr>
        <w:t>portador de la cédula de identidad personal</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bCs/>
          <w:spacing w:val="-3"/>
          <w:sz w:val="24"/>
          <w:szCs w:val="24"/>
          <w:lang w:eastAsia="es-ES"/>
        </w:rPr>
        <w:t>N° 7-65-976</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bCs/>
          <w:spacing w:val="-3"/>
          <w:sz w:val="24"/>
          <w:szCs w:val="24"/>
          <w:lang w:val="es-MX" w:eastAsia="es-ES"/>
        </w:rPr>
        <w:t>ESTACIÓN DE SERVICIO Y LOCAL COMERCIAL</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jc w:val="both"/>
        <w:rPr>
          <w:rFonts w:ascii="Times New Roman" w:hAnsi="Times New Roman" w:eastAsia="Times New Roman" w:cs="Times New Roman"/>
          <w:b/>
          <w:spacing w:val="-3"/>
          <w:sz w:val="24"/>
          <w:szCs w:val="24"/>
          <w:lang w:val="es-MX" w:eastAsia="es-ES"/>
        </w:rPr>
      </w:pPr>
    </w:p>
    <w:p>
      <w:pPr>
        <w:autoSpaceDE w:val="0"/>
        <w:autoSpaceDN w:val="0"/>
        <w:adjustRightInd w:val="0"/>
        <w:spacing w:after="0"/>
        <w:jc w:val="both"/>
        <w:rPr>
          <w:rFonts w:ascii="Times New Roman" w:hAnsi="Times New Roman" w:eastAsia="Times New Roman" w:cs="Times New Roman"/>
          <w:spacing w:val="-3"/>
          <w:sz w:val="24"/>
          <w:szCs w:val="24"/>
          <w:lang w:val="es-MX" w:eastAsia="es-ES"/>
        </w:rPr>
      </w:pPr>
      <w:r>
        <w:rPr>
          <w:rFonts w:ascii="Times New Roman" w:hAnsi="Times New Roman" w:eastAsia="Times New Roman" w:cs="Times New Roman"/>
          <w:spacing w:val="-3"/>
          <w:sz w:val="24"/>
          <w:szCs w:val="24"/>
          <w:lang w:val="es-ES" w:eastAsia="es-ES"/>
        </w:rPr>
        <w:t xml:space="preserve">Que en virtud de lo antedicho, jueves 6 de junio de 2019, </w:t>
      </w:r>
      <w:r>
        <w:rPr>
          <w:rFonts w:ascii="Times New Roman" w:hAnsi="Times New Roman" w:eastAsia="Times New Roman" w:cs="Times New Roman"/>
          <w:spacing w:val="-3"/>
          <w:sz w:val="24"/>
          <w:szCs w:val="24"/>
          <w:lang w:val="es-MX" w:eastAsia="es-ES"/>
        </w:rPr>
        <w:t>el</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Señor </w:t>
      </w:r>
      <w:r>
        <w:rPr>
          <w:rFonts w:ascii="Times New Roman" w:hAnsi="Times New Roman" w:eastAsia="Times New Roman" w:cs="Times New Roman"/>
          <w:b/>
          <w:bCs/>
          <w:spacing w:val="-3"/>
          <w:sz w:val="24"/>
          <w:szCs w:val="24"/>
          <w:lang w:eastAsia="es-ES"/>
        </w:rPr>
        <w:t>EDWIN I. CANO S,</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MX" w:eastAsia="es-ES"/>
        </w:rPr>
        <w:t>portador de la cédula de identidad personal</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b/>
          <w:bCs/>
          <w:spacing w:val="-3"/>
          <w:sz w:val="24"/>
          <w:szCs w:val="24"/>
          <w:lang w:eastAsia="es-ES"/>
        </w:rPr>
        <w:t>N° 7-65-976</w:t>
      </w:r>
      <w:r>
        <w:rPr>
          <w:rFonts w:ascii="Times New Roman" w:hAnsi="Times New Roman" w:eastAsia="Times New Roman" w:cs="Times New Roman"/>
          <w:b/>
          <w:spacing w:val="-3"/>
          <w:sz w:val="24"/>
          <w:szCs w:val="24"/>
          <w:lang w:val="es-ES" w:eastAsia="es-ES"/>
        </w:rPr>
        <w:t>,</w:t>
      </w:r>
      <w:r>
        <w:rPr>
          <w:rFonts w:ascii="Times New Roman" w:hAnsi="Times New Roman" w:eastAsia="Times New Roman" w:cs="Times New Roman"/>
          <w:spacing w:val="-3"/>
          <w:sz w:val="24"/>
          <w:szCs w:val="24"/>
          <w:lang w:val="es-ES" w:eastAsia="es-ES"/>
        </w:rPr>
        <w:t xml:space="preserve"> </w:t>
      </w:r>
      <w:r>
        <w:rPr>
          <w:rFonts w:ascii="Times New Roman" w:hAnsi="Times New Roman" w:eastAsia="Times New Roman" w:cs="Times New Roman"/>
          <w:b/>
          <w:spacing w:val="-3"/>
          <w:sz w:val="24"/>
          <w:szCs w:val="24"/>
          <w:lang w:val="es-ES" w:eastAsia="es-ES"/>
        </w:rPr>
        <w:t xml:space="preserve">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del proyecto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bCs/>
          <w:spacing w:val="-3"/>
          <w:sz w:val="24"/>
          <w:szCs w:val="24"/>
          <w:lang w:val="es-MX" w:eastAsia="es-ES"/>
        </w:rPr>
        <w:t>ESTACIÓN DE SERVICIO Y LOCAL COMERCIAL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ES" w:eastAsia="es-ES"/>
        </w:rPr>
        <w:t xml:space="preserve">corregimiento de </w:t>
      </w:r>
      <w:r>
        <w:rPr>
          <w:rFonts w:ascii="Times New Roman" w:hAnsi="Times New Roman" w:eastAsia="Times New Roman" w:cs="Times New Roman"/>
          <w:spacing w:val="-3"/>
          <w:sz w:val="24"/>
          <w:szCs w:val="24"/>
          <w:lang w:val="es-MX" w:eastAsia="es-ES"/>
        </w:rPr>
        <w:t>Las Tablas Cabecera,</w:t>
      </w:r>
      <w:r>
        <w:rPr>
          <w:rFonts w:ascii="Times New Roman" w:hAnsi="Times New Roman" w:eastAsia="Times New Roman" w:cs="Times New Roman"/>
          <w:spacing w:val="-3"/>
          <w:sz w:val="24"/>
          <w:szCs w:val="24"/>
          <w:lang w:eastAsia="es-ES"/>
        </w:rPr>
        <w:t xml:space="preserve"> distrito de Las Tablas</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spacing w:val="-3"/>
          <w:sz w:val="24"/>
          <w:szCs w:val="24"/>
          <w:lang w:eastAsia="es-ES"/>
        </w:rPr>
        <w:t xml:space="preserve">provincia </w:t>
      </w:r>
      <w:r>
        <w:rPr>
          <w:rFonts w:ascii="Times New Roman" w:hAnsi="Times New Roman" w:eastAsia="Times New Roman" w:cs="Times New Roman"/>
          <w:spacing w:val="-3"/>
          <w:sz w:val="24"/>
          <w:szCs w:val="24"/>
          <w:lang w:val="es-MX" w:eastAsia="es-ES"/>
        </w:rPr>
        <w:t>d</w:t>
      </w:r>
      <w:r>
        <w:rPr>
          <w:rFonts w:ascii="Times New Roman" w:hAnsi="Times New Roman" w:eastAsia="Times New Roman" w:cs="Times New Roman"/>
          <w:spacing w:val="-3"/>
          <w:sz w:val="24"/>
          <w:szCs w:val="24"/>
          <w:lang w:eastAsia="es-ES"/>
        </w:rPr>
        <w:t xml:space="preserve">e </w:t>
      </w:r>
      <w:r>
        <w:rPr>
          <w:rFonts w:ascii="Times New Roman" w:hAnsi="Times New Roman" w:eastAsia="Times New Roman" w:cs="Times New Roman"/>
          <w:spacing w:val="-3"/>
          <w:sz w:val="24"/>
          <w:szCs w:val="24"/>
          <w:lang w:val="es-MX" w:eastAsia="es-ES"/>
        </w:rPr>
        <w:t>Los Santos</w:t>
      </w:r>
      <w:r>
        <w:rPr>
          <w:rFonts w:ascii="Times New Roman" w:hAnsi="Times New Roman" w:eastAsia="Times New Roman" w:cs="Times New Roman"/>
          <w:spacing w:val="-3"/>
          <w:sz w:val="24"/>
          <w:szCs w:val="24"/>
          <w:lang w:val="es-ES" w:eastAsia="es-ES"/>
        </w:rPr>
        <w:t>;</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bCs/>
          <w:spacing w:val="-3"/>
          <w:sz w:val="24"/>
          <w:szCs w:val="24"/>
          <w:lang w:val="es-MX" w:eastAsia="es-ES"/>
        </w:rPr>
        <w:t>CARLOS A. CEDEÑO D. Y AGUSTÍN SÁEZ DE GRACIA</w:t>
      </w:r>
      <w:r>
        <w:rPr>
          <w:rFonts w:ascii="Times New Roman" w:hAnsi="Times New Roman" w:eastAsia="Times New Roman" w:cs="Times New Roman"/>
          <w:bCs/>
          <w:spacing w:val="-3"/>
          <w:sz w:val="24"/>
          <w:szCs w:val="24"/>
          <w:lang w:val="es-ES" w:eastAsia="es-ES"/>
        </w:rPr>
        <w:t xml:space="preserve"> </w:t>
      </w:r>
      <w:r>
        <w:rPr>
          <w:rFonts w:ascii="Times New Roman" w:hAnsi="Times New Roman" w:eastAsia="Times New Roman" w:cs="Times New Roman"/>
          <w:spacing w:val="-3"/>
          <w:sz w:val="24"/>
          <w:szCs w:val="24"/>
          <w:lang w:val="es-MX" w:eastAsia="es-ES"/>
        </w:rPr>
        <w:t xml:space="preserve">persona(s), Naturales </w:t>
      </w:r>
      <w:r>
        <w:rPr>
          <w:rFonts w:ascii="Times New Roman" w:hAnsi="Times New Roman" w:eastAsia="Times New Roman" w:cs="Times New Roman"/>
          <w:spacing w:val="-3"/>
          <w:sz w:val="24"/>
          <w:szCs w:val="24"/>
          <w:lang w:val="es-ES" w:eastAsia="es-ES"/>
        </w:rPr>
        <w:t>debidamente inscrita</w:t>
      </w:r>
      <w:r>
        <w:rPr>
          <w:rFonts w:ascii="Times New Roman" w:hAnsi="Times New Roman" w:eastAsia="Times New Roman" w:cs="Times New Roman"/>
          <w:spacing w:val="-3"/>
          <w:sz w:val="24"/>
          <w:szCs w:val="24"/>
          <w:lang w:val="es-MX" w:eastAsia="es-ES"/>
        </w:rPr>
        <w:t>s</w:t>
      </w:r>
      <w:r>
        <w:rPr>
          <w:rFonts w:ascii="Times New Roman" w:hAnsi="Times New Roman" w:eastAsia="Times New Roman" w:cs="Times New Roman"/>
          <w:spacing w:val="-3"/>
          <w:sz w:val="24"/>
          <w:szCs w:val="24"/>
          <w:lang w:val="es-ES" w:eastAsia="es-ES"/>
        </w:rPr>
        <w:t xml:space="preserve"> en el Registro de Consultores Idóneos que lleva el Ministerio de Ambiente, mediante la(s) Resolución(es) </w:t>
      </w:r>
      <w:r>
        <w:rPr>
          <w:rFonts w:ascii="Times New Roman" w:hAnsi="Times New Roman" w:eastAsia="Times New Roman" w:cs="Times New Roman"/>
          <w:b/>
          <w:spacing w:val="-3"/>
          <w:sz w:val="24"/>
          <w:szCs w:val="24"/>
          <w:lang w:val="es-ES" w:eastAsia="es-ES"/>
        </w:rPr>
        <w:t>IAR-076-96 e IAR-043-00</w:t>
      </w:r>
      <w:r>
        <w:rPr>
          <w:rFonts w:ascii="Times New Roman" w:hAnsi="Times New Roman" w:eastAsia="Times New Roman" w:cs="Times New Roman"/>
          <w:b/>
          <w:bCs/>
          <w:spacing w:val="-3"/>
          <w:sz w:val="24"/>
          <w:szCs w:val="24"/>
          <w:lang w:eastAsia="es-ES"/>
        </w:rPr>
        <w:t xml:space="preserve">, </w:t>
      </w:r>
      <w:r>
        <w:rPr>
          <w:rFonts w:ascii="Times New Roman" w:hAnsi="Times New Roman" w:eastAsia="Times New Roman" w:cs="Times New Roman"/>
          <w:spacing w:val="-3"/>
          <w:sz w:val="24"/>
          <w:szCs w:val="24"/>
          <w:lang w:eastAsia="es-ES"/>
        </w:rPr>
        <w:t>respectivamente.</w:t>
      </w:r>
    </w:p>
    <w:p>
      <w:pPr>
        <w:autoSpaceDE w:val="0"/>
        <w:autoSpaceDN w:val="0"/>
        <w:adjustRightInd w:val="0"/>
        <w:spacing w:after="0"/>
        <w:jc w:val="both"/>
        <w:rPr>
          <w:rFonts w:ascii="Times New Roman" w:hAnsi="Times New Roman" w:eastAsia="Times New Roman" w:cs="Times New Roman"/>
          <w:spacing w:val="-3"/>
          <w:sz w:val="24"/>
          <w:szCs w:val="24"/>
          <w:lang w:val="es-MX" w:eastAsia="es-ES"/>
        </w:rPr>
      </w:pPr>
    </w:p>
    <w:p>
      <w:pPr>
        <w:autoSpaceDE w:val="0"/>
        <w:autoSpaceDN w:val="0"/>
        <w:adjustRightInd w:val="0"/>
        <w:spacing w:after="0"/>
        <w:jc w:val="both"/>
        <w:rPr>
          <w:rFonts w:ascii="Times New Roman" w:hAnsi="Times New Roman" w:eastAsia="Times New Roman" w:cs="Times New Roman"/>
          <w:b/>
          <w:bCs/>
          <w:spacing w:val="-3"/>
          <w:sz w:val="24"/>
          <w:szCs w:val="24"/>
          <w:lang w:eastAsia="es-ES"/>
        </w:rPr>
      </w:pPr>
      <w:r>
        <w:rPr>
          <w:rFonts w:ascii="Times New Roman" w:hAnsi="Times New Roman" w:eastAsia="Times New Roman" w:cs="Times New Roman"/>
          <w:spacing w:val="-3"/>
          <w:sz w:val="24"/>
          <w:szCs w:val="24"/>
          <w:lang w:eastAsia="es-ES"/>
        </w:rPr>
        <w:t xml:space="preserve">Que mediante </w:t>
      </w:r>
      <w:r>
        <w:rPr>
          <w:rFonts w:ascii="Times New Roman" w:hAnsi="Times New Roman" w:eastAsia="Times New Roman" w:cs="Times New Roman"/>
          <w:b/>
          <w:spacing w:val="-3"/>
          <w:sz w:val="24"/>
          <w:szCs w:val="24"/>
          <w:lang w:eastAsia="es-ES"/>
        </w:rPr>
        <w:t xml:space="preserve">PROVEIDO </w:t>
      </w:r>
      <w:r>
        <w:rPr>
          <w:rFonts w:ascii="Times New Roman" w:hAnsi="Times New Roman" w:eastAsia="Times New Roman" w:cs="Times New Roman"/>
          <w:b/>
          <w:bCs/>
          <w:spacing w:val="-3"/>
          <w:sz w:val="24"/>
          <w:szCs w:val="24"/>
          <w:lang w:eastAsia="es-ES"/>
        </w:rPr>
        <w:t>DRLS-026-0708-19</w:t>
      </w:r>
      <w:r>
        <w:rPr>
          <w:rFonts w:ascii="Times New Roman" w:hAnsi="Times New Roman" w:eastAsia="Times New Roman" w:cs="Times New Roman"/>
          <w:spacing w:val="-3"/>
          <w:sz w:val="24"/>
          <w:szCs w:val="24"/>
          <w:lang w:eastAsia="es-ES"/>
        </w:rPr>
        <w:t xml:space="preserve">, del ocho (08) de julio de 2019, (visible en el expediente digital), el </w:t>
      </w:r>
      <w:r>
        <w:rPr>
          <w:rFonts w:ascii="Times New Roman" w:hAnsi="Times New Roman" w:eastAsia="Times New Roman" w:cs="Times New Roman"/>
          <w:b/>
          <w:spacing w:val="-3"/>
          <w:sz w:val="24"/>
          <w:szCs w:val="24"/>
          <w:lang w:eastAsia="es-ES"/>
        </w:rPr>
        <w:t>MINISTERIO DE AMBIENTE</w:t>
      </w:r>
      <w:r>
        <w:rPr>
          <w:rFonts w:ascii="Times New Roman" w:hAnsi="Times New Roman" w:eastAsia="Times New Roman" w:cs="Times New Roman"/>
          <w:spacing w:val="-3"/>
          <w:sz w:val="24"/>
          <w:szCs w:val="24"/>
          <w:lang w:eastAsia="es-ES"/>
        </w:rPr>
        <w:t xml:space="preserve"> admite a la fase de evaluación y análisis el EsIA, categoría I, del proyecto denominado </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b/>
          <w:bCs/>
          <w:spacing w:val="-3"/>
          <w:sz w:val="24"/>
          <w:szCs w:val="24"/>
          <w:lang w:val="es-MX" w:eastAsia="es-ES"/>
        </w:rPr>
        <w:t>ESTACIÓN DE SERVICIO Y LOCAL COMERCIAL</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jc w:val="both"/>
        <w:rPr>
          <w:rFonts w:ascii="Times New Roman" w:hAnsi="Times New Roman" w:eastAsia="Times New Roman" w:cs="Times New Roman"/>
          <w:bCs/>
          <w:sz w:val="24"/>
          <w:szCs w:val="24"/>
          <w:lang w:val="es-MX" w:eastAsia="es-ES"/>
        </w:rPr>
      </w:pPr>
    </w:p>
    <w:p>
      <w:pPr>
        <w:autoSpaceDE w:val="0"/>
        <w:autoSpaceDN w:val="0"/>
        <w:adjustRightInd w:val="0"/>
        <w:spacing w:after="0"/>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De acuerdo al EsIA, el proyecto </w:t>
      </w:r>
      <w:r>
        <w:rPr>
          <w:rFonts w:ascii="Times New Roman" w:hAnsi="Times New Roman" w:eastAsia="Times New Roman" w:cs="Times New Roman"/>
          <w:bCs/>
          <w:sz w:val="24"/>
          <w:szCs w:val="24"/>
          <w:lang w:val="es-ES" w:eastAsia="es-ES"/>
        </w:rPr>
        <w:t xml:space="preserve">consiste en </w:t>
      </w:r>
      <w:r>
        <w:rPr>
          <w:rFonts w:ascii="Times New Roman" w:hAnsi="Times New Roman" w:eastAsia="Times New Roman" w:cs="Times New Roman"/>
          <w:bCs/>
          <w:sz w:val="24"/>
          <w:szCs w:val="24"/>
          <w:lang w:val="es-ES" w:eastAsia="es-ES" w:bidi="es-PA"/>
        </w:rPr>
        <w:t>construir una estación de servicio para el expendio de combustible liviano (Diesel, gasolina) y un local comercial para operar una refresquería</w:t>
      </w:r>
      <w:r>
        <w:rPr>
          <w:rFonts w:ascii="Times New Roman" w:hAnsi="Times New Roman" w:eastAsia="Times New Roman" w:cs="Times New Roman"/>
          <w:bCs/>
          <w:sz w:val="24"/>
          <w:szCs w:val="24"/>
          <w:lang w:val="es-ES" w:eastAsia="es-ES"/>
        </w:rPr>
        <w:t xml:space="preserve"> (pág. 20 del EsIA).</w:t>
      </w:r>
    </w:p>
    <w:p>
      <w:pPr>
        <w:autoSpaceDE w:val="0"/>
        <w:autoSpaceDN w:val="0"/>
        <w:adjustRightInd w:val="0"/>
        <w:spacing w:after="0"/>
        <w:jc w:val="both"/>
        <w:rPr>
          <w:rFonts w:ascii="Times New Roman" w:hAnsi="Times New Roman" w:eastAsia="Times New Roman" w:cs="Times New Roman"/>
          <w:bCs/>
          <w:sz w:val="24"/>
          <w:szCs w:val="24"/>
          <w:lang w:val="es-MX" w:eastAsia="es-ES"/>
        </w:rPr>
      </w:pP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El proyecto se desarrollará sobre un (1) globo de terreno de </w:t>
      </w:r>
      <w:r>
        <w:rPr>
          <w:rFonts w:ascii="Times New Roman" w:hAnsi="Times New Roman" w:eastAsia="Times New Roman" w:cs="Times New Roman"/>
          <w:bCs/>
          <w:sz w:val="24"/>
          <w:szCs w:val="24"/>
          <w:lang w:val="es-ES" w:eastAsia="es-ES"/>
        </w:rPr>
        <w:t xml:space="preserve">de </w:t>
      </w:r>
      <w:r>
        <w:rPr>
          <w:rFonts w:ascii="Times New Roman" w:hAnsi="Times New Roman" w:eastAsia="Times New Roman" w:cs="Times New Roman"/>
          <w:bCs/>
          <w:sz w:val="24"/>
          <w:szCs w:val="24"/>
          <w:lang w:val="es-ES" w:eastAsia="es-ES" w:bidi="es-PA"/>
        </w:rPr>
        <w:t>1,955m</w:t>
      </w:r>
      <w:r>
        <w:rPr>
          <w:rFonts w:ascii="Times New Roman" w:hAnsi="Times New Roman" w:eastAsia="Times New Roman" w:cs="Times New Roman"/>
          <w:bCs/>
          <w:sz w:val="24"/>
          <w:szCs w:val="24"/>
          <w:vertAlign w:val="superscript"/>
          <w:lang w:val="es-ES" w:eastAsia="es-ES" w:bidi="es-PA"/>
        </w:rPr>
        <w:t>2</w:t>
      </w:r>
      <w:r>
        <w:rPr>
          <w:rFonts w:ascii="Times New Roman" w:hAnsi="Times New Roman" w:eastAsia="Times New Roman" w:cs="Times New Roman"/>
          <w:bCs/>
          <w:sz w:val="24"/>
          <w:szCs w:val="24"/>
          <w:lang w:val="es-ES" w:eastAsia="es-ES" w:bidi="es-PA"/>
        </w:rPr>
        <w:t xml:space="preserve"> + 50dm</w:t>
      </w:r>
      <w:r>
        <w:rPr>
          <w:rFonts w:ascii="Times New Roman" w:hAnsi="Times New Roman" w:eastAsia="Times New Roman" w:cs="Times New Roman"/>
          <w:bCs/>
          <w:sz w:val="24"/>
          <w:szCs w:val="24"/>
          <w:vertAlign w:val="superscript"/>
          <w:lang w:val="es-ES" w:eastAsia="es-ES" w:bidi="es-PA"/>
        </w:rPr>
        <w:t>2</w:t>
      </w:r>
      <w:r>
        <w:rPr>
          <w:rFonts w:ascii="Times New Roman" w:hAnsi="Times New Roman" w:eastAsia="Times New Roman" w:cs="Times New Roman"/>
          <w:bCs/>
          <w:sz w:val="24"/>
          <w:szCs w:val="24"/>
          <w:lang w:eastAsia="es-ES"/>
        </w:rPr>
        <w:t xml:space="preserve">, localizado en la </w:t>
      </w:r>
      <w:r>
        <w:rPr>
          <w:rFonts w:ascii="Times New Roman" w:hAnsi="Times New Roman" w:eastAsia="Times New Roman" w:cs="Times New Roman"/>
          <w:bCs/>
          <w:sz w:val="24"/>
          <w:szCs w:val="24"/>
          <w:lang w:eastAsia="es-ES" w:bidi="es-PA"/>
        </w:rPr>
        <w:t>vía el Cocal / el Carate,</w:t>
      </w:r>
      <w:r>
        <w:rPr>
          <w:rFonts w:ascii="Times New Roman" w:hAnsi="Times New Roman" w:eastAsia="Times New Roman" w:cs="Times New Roman"/>
          <w:bCs/>
          <w:sz w:val="24"/>
          <w:szCs w:val="24"/>
          <w:lang w:eastAsia="es-ES"/>
        </w:rPr>
        <w:t xml:space="preserve"> corregimiento </w:t>
      </w:r>
      <w:r>
        <w:rPr>
          <w:rFonts w:ascii="Times New Roman" w:hAnsi="Times New Roman" w:eastAsia="Times New Roman" w:cs="Times New Roman"/>
          <w:bCs/>
          <w:sz w:val="24"/>
          <w:szCs w:val="24"/>
          <w:lang w:eastAsia="es-ES" w:bidi="es-PA"/>
        </w:rPr>
        <w:t xml:space="preserve">El Cocal, </w:t>
      </w:r>
      <w:r>
        <w:rPr>
          <w:rFonts w:ascii="Times New Roman" w:hAnsi="Times New Roman" w:eastAsia="Times New Roman" w:cs="Times New Roman"/>
          <w:bCs/>
          <w:sz w:val="24"/>
          <w:szCs w:val="24"/>
          <w:lang w:eastAsia="es-ES"/>
        </w:rPr>
        <w:t>distrito de Las Tablas, provincia de Los Santos, ubicada en las siguientes coordenadas:</w:t>
      </w:r>
    </w:p>
    <w:p>
      <w:pPr>
        <w:autoSpaceDE w:val="0"/>
        <w:autoSpaceDN w:val="0"/>
        <w:adjustRightInd w:val="0"/>
        <w:spacing w:after="0"/>
        <w:jc w:val="both"/>
        <w:rPr>
          <w:rFonts w:ascii="Times New Roman" w:hAnsi="Times New Roman" w:eastAsia="Times New Roman" w:cs="Times New Roman"/>
          <w:bCs/>
          <w:sz w:val="24"/>
          <w:szCs w:val="24"/>
          <w:lang w:eastAsia="es-ES"/>
        </w:rPr>
      </w:pPr>
    </w:p>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val="es-ES" w:eastAsia="es-ES"/>
        </w:rPr>
        <w:t>El proyecto se ubica sobre</w:t>
      </w:r>
      <w:r>
        <w:rPr>
          <w:rFonts w:ascii="Times New Roman" w:hAnsi="Times New Roman" w:eastAsia="Times New Roman" w:cs="Times New Roman"/>
          <w:b/>
          <w:bCs/>
          <w:sz w:val="24"/>
          <w:szCs w:val="24"/>
          <w:lang w:eastAsia="es-ES"/>
        </w:rPr>
        <w:t xml:space="preserve"> las siguientes coordenadas; (Datum WGS-84)</w:t>
      </w:r>
    </w:p>
    <w:p>
      <w:pPr>
        <w:autoSpaceDE w:val="0"/>
        <w:autoSpaceDN w:val="0"/>
        <w:adjustRightInd w:val="0"/>
        <w:spacing w:after="0"/>
        <w:jc w:val="both"/>
        <w:rPr>
          <w:rFonts w:ascii="Times New Roman" w:hAnsi="Times New Roman" w:eastAsia="Times New Roman" w:cs="Times New Roman"/>
          <w:bCs/>
          <w:sz w:val="24"/>
          <w:szCs w:val="24"/>
          <w:lang w:eastAsia="es-ES"/>
        </w:rPr>
      </w:pPr>
    </w:p>
    <w:tbl>
      <w:tblPr>
        <w:tblStyle w:val="11"/>
        <w:tblpPr w:leftFromText="141" w:rightFromText="141" w:vertAnchor="text" w:horzAnchor="margin" w:tblpXSpec="center" w:tblpY="67"/>
        <w:tblW w:w="5812" w:type="dxa"/>
        <w:tblInd w:w="0" w:type="dxa"/>
        <w:tblLayout w:type="fixed"/>
        <w:tblCellMar>
          <w:top w:w="0" w:type="dxa"/>
          <w:left w:w="70" w:type="dxa"/>
          <w:bottom w:w="0" w:type="dxa"/>
          <w:right w:w="70" w:type="dxa"/>
        </w:tblCellMar>
      </w:tblPr>
      <w:tblGrid>
        <w:gridCol w:w="921"/>
        <w:gridCol w:w="2410"/>
        <w:gridCol w:w="2481"/>
      </w:tblGrid>
      <w:tr>
        <w:tblPrEx>
          <w:tblLayout w:type="fixed"/>
          <w:tblCellMar>
            <w:top w:w="0" w:type="dxa"/>
            <w:left w:w="70" w:type="dxa"/>
            <w:bottom w:w="0" w:type="dxa"/>
            <w:right w:w="70" w:type="dxa"/>
          </w:tblCellMar>
        </w:tblPrEx>
        <w:trPr>
          <w:trHeight w:val="317" w:hRule="atLeast"/>
        </w:trPr>
        <w:tc>
          <w:tcPr>
            <w:tcW w:w="5812"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val="es-MX" w:eastAsia="es-ES"/>
              </w:rPr>
              <w:t>ESTACIÓN DE SERVICIO Y LOCAL COMERCIAL</w:t>
            </w:r>
          </w:p>
        </w:tc>
      </w:tr>
      <w:tr>
        <w:tblPrEx>
          <w:tblLayout w:type="fixed"/>
          <w:tblCellMar>
            <w:top w:w="0" w:type="dxa"/>
            <w:left w:w="70" w:type="dxa"/>
            <w:bottom w:w="0" w:type="dxa"/>
            <w:right w:w="70" w:type="dxa"/>
          </w:tblCellMar>
        </w:tblPrEx>
        <w:trPr>
          <w:trHeight w:val="431" w:hRule="atLeast"/>
        </w:trPr>
        <w:tc>
          <w:tcPr>
            <w:tcW w:w="5812" w:type="dxa"/>
            <w:gridSpan w:val="3"/>
            <w:vMerge w:val="continue"/>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spacing w:after="0"/>
              <w:jc w:val="both"/>
              <w:rPr>
                <w:rFonts w:ascii="Times New Roman" w:hAnsi="Times New Roman" w:eastAsia="Times New Roman" w:cs="Times New Roman"/>
                <w:b/>
                <w:bCs/>
                <w:sz w:val="24"/>
                <w:szCs w:val="24"/>
                <w:lang w:eastAsia="es-ES"/>
              </w:rPr>
            </w:pPr>
          </w:p>
        </w:tc>
      </w:tr>
      <w:tr>
        <w:tblPrEx>
          <w:tblLayout w:type="fixed"/>
          <w:tblCellMar>
            <w:top w:w="0" w:type="dxa"/>
            <w:left w:w="70" w:type="dxa"/>
            <w:bottom w:w="0" w:type="dxa"/>
            <w:right w:w="70" w:type="dxa"/>
          </w:tblCellMar>
        </w:tblPrEx>
        <w:trPr>
          <w:trHeight w:val="191" w:hRule="atLeast"/>
        </w:trPr>
        <w:tc>
          <w:tcPr>
            <w:tcW w:w="921"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Punto</w:t>
            </w:r>
          </w:p>
        </w:tc>
        <w:tc>
          <w:tcPr>
            <w:tcW w:w="2410"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Este</w:t>
            </w:r>
          </w:p>
        </w:tc>
        <w:tc>
          <w:tcPr>
            <w:tcW w:w="248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Norte</w:t>
            </w:r>
          </w:p>
        </w:tc>
      </w:tr>
      <w:tr>
        <w:tblPrEx>
          <w:tblLayout w:type="fixed"/>
          <w:tblCellMar>
            <w:top w:w="0" w:type="dxa"/>
            <w:left w:w="70" w:type="dxa"/>
            <w:bottom w:w="0" w:type="dxa"/>
            <w:right w:w="70" w:type="dxa"/>
          </w:tblCellMar>
        </w:tblPrEx>
        <w:trPr>
          <w:trHeight w:val="191" w:hRule="atLeast"/>
        </w:trPr>
        <w:tc>
          <w:tcPr>
            <w:tcW w:w="921"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1</w:t>
            </w:r>
          </w:p>
        </w:tc>
        <w:tc>
          <w:tcPr>
            <w:tcW w:w="2410"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579557.65</w:t>
            </w:r>
          </w:p>
        </w:tc>
        <w:tc>
          <w:tcPr>
            <w:tcW w:w="248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857419.56</w:t>
            </w:r>
          </w:p>
        </w:tc>
      </w:tr>
      <w:tr>
        <w:tblPrEx>
          <w:tblLayout w:type="fixed"/>
          <w:tblCellMar>
            <w:top w:w="0" w:type="dxa"/>
            <w:left w:w="70" w:type="dxa"/>
            <w:bottom w:w="0" w:type="dxa"/>
            <w:right w:w="70" w:type="dxa"/>
          </w:tblCellMar>
        </w:tblPrEx>
        <w:trPr>
          <w:trHeight w:val="191" w:hRule="atLeast"/>
        </w:trPr>
        <w:tc>
          <w:tcPr>
            <w:tcW w:w="921"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2</w:t>
            </w:r>
          </w:p>
        </w:tc>
        <w:tc>
          <w:tcPr>
            <w:tcW w:w="2410"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579509.71</w:t>
            </w:r>
          </w:p>
        </w:tc>
        <w:tc>
          <w:tcPr>
            <w:tcW w:w="248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857430.65</w:t>
            </w:r>
          </w:p>
        </w:tc>
      </w:tr>
      <w:tr>
        <w:tblPrEx>
          <w:tblLayout w:type="fixed"/>
          <w:tblCellMar>
            <w:top w:w="0" w:type="dxa"/>
            <w:left w:w="70" w:type="dxa"/>
            <w:bottom w:w="0" w:type="dxa"/>
            <w:right w:w="70" w:type="dxa"/>
          </w:tblCellMar>
        </w:tblPrEx>
        <w:trPr>
          <w:trHeight w:val="191" w:hRule="atLeast"/>
        </w:trPr>
        <w:tc>
          <w:tcPr>
            <w:tcW w:w="921"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3</w:t>
            </w:r>
          </w:p>
        </w:tc>
        <w:tc>
          <w:tcPr>
            <w:tcW w:w="2410"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579506.36</w:t>
            </w:r>
          </w:p>
        </w:tc>
        <w:tc>
          <w:tcPr>
            <w:tcW w:w="248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857402.87</w:t>
            </w:r>
          </w:p>
        </w:tc>
      </w:tr>
      <w:tr>
        <w:tblPrEx>
          <w:tblLayout w:type="fixed"/>
          <w:tblCellMar>
            <w:top w:w="0" w:type="dxa"/>
            <w:left w:w="70" w:type="dxa"/>
            <w:bottom w:w="0" w:type="dxa"/>
            <w:right w:w="70" w:type="dxa"/>
          </w:tblCellMar>
        </w:tblPrEx>
        <w:trPr>
          <w:trHeight w:val="191" w:hRule="atLeast"/>
        </w:trPr>
        <w:tc>
          <w:tcPr>
            <w:tcW w:w="921" w:type="dxa"/>
            <w:tcBorders>
              <w:top w:val="nil"/>
              <w:left w:val="single" w:color="auto" w:sz="4" w:space="0"/>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4</w:t>
            </w:r>
          </w:p>
        </w:tc>
        <w:tc>
          <w:tcPr>
            <w:tcW w:w="2410"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579548.80</w:t>
            </w:r>
          </w:p>
        </w:tc>
        <w:tc>
          <w:tcPr>
            <w:tcW w:w="2481" w:type="dxa"/>
            <w:tcBorders>
              <w:top w:val="nil"/>
              <w:left w:val="nil"/>
              <w:bottom w:val="single" w:color="auto" w:sz="4" w:space="0"/>
              <w:right w:val="single" w:color="auto" w:sz="4" w:space="0"/>
            </w:tcBorders>
            <w:shd w:val="clear" w:color="auto" w:fill="auto"/>
            <w:noWrap/>
            <w:vAlign w:val="bottom"/>
          </w:tcPr>
          <w:p>
            <w:pPr>
              <w:autoSpaceDE w:val="0"/>
              <w:autoSpaceDN w:val="0"/>
              <w:adjustRightInd w:val="0"/>
              <w:spacing w:after="0"/>
              <w:jc w:val="center"/>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bidi="es-PA"/>
              </w:rPr>
              <w:t>857389.02</w:t>
            </w:r>
          </w:p>
        </w:tc>
      </w:tr>
    </w:tbl>
    <w:p>
      <w:pPr>
        <w:autoSpaceDE w:val="0"/>
        <w:autoSpaceDN w:val="0"/>
        <w:adjustRightInd w:val="0"/>
        <w:spacing w:after="0"/>
        <w:jc w:val="both"/>
        <w:rPr>
          <w:rFonts w:ascii="Times New Roman" w:hAnsi="Times New Roman" w:eastAsia="Times New Roman" w:cs="Times New Roman"/>
          <w:b/>
          <w:bCs/>
          <w:sz w:val="24"/>
          <w:szCs w:val="24"/>
          <w:lang w:eastAsia="es-ES"/>
        </w:rPr>
      </w:pPr>
    </w:p>
    <w:p>
      <w:pPr>
        <w:autoSpaceDE w:val="0"/>
        <w:autoSpaceDN w:val="0"/>
        <w:adjustRightInd w:val="0"/>
        <w:spacing w:after="0"/>
        <w:jc w:val="both"/>
        <w:rPr>
          <w:rFonts w:ascii="Times New Roman" w:hAnsi="Times New Roman" w:eastAsia="Times New Roman" w:cs="Times New Roman"/>
          <w:b/>
          <w:bCs/>
          <w:sz w:val="24"/>
          <w:szCs w:val="24"/>
          <w:lang w:eastAsia="es-ES"/>
        </w:rPr>
      </w:pPr>
    </w:p>
    <w:p>
      <w:pPr>
        <w:autoSpaceDE w:val="0"/>
        <w:autoSpaceDN w:val="0"/>
        <w:adjustRightInd w:val="0"/>
        <w:spacing w:after="0"/>
        <w:jc w:val="both"/>
        <w:rPr>
          <w:rFonts w:ascii="Times New Roman" w:hAnsi="Times New Roman" w:eastAsia="Times New Roman" w:cs="Times New Roman"/>
          <w:b/>
          <w:bCs/>
          <w:sz w:val="24"/>
          <w:szCs w:val="24"/>
          <w:lang w:eastAsia="es-ES"/>
        </w:rPr>
      </w:pPr>
    </w:p>
    <w:p>
      <w:pPr>
        <w:autoSpaceDE w:val="0"/>
        <w:autoSpaceDN w:val="0"/>
        <w:adjustRightInd w:val="0"/>
        <w:spacing w:after="0"/>
        <w:jc w:val="both"/>
        <w:rPr>
          <w:rFonts w:ascii="Times New Roman" w:hAnsi="Times New Roman" w:eastAsia="Times New Roman" w:cs="Times New Roman"/>
          <w:b/>
          <w:bCs/>
          <w:sz w:val="24"/>
          <w:szCs w:val="24"/>
          <w:lang w:eastAsia="es-ES"/>
        </w:rPr>
      </w:pPr>
    </w:p>
    <w:p>
      <w:pPr>
        <w:autoSpaceDE w:val="0"/>
        <w:autoSpaceDN w:val="0"/>
        <w:adjustRightInd w:val="0"/>
        <w:spacing w:after="0"/>
        <w:jc w:val="both"/>
        <w:rPr>
          <w:rFonts w:ascii="Times New Roman" w:hAnsi="Times New Roman" w:eastAsia="Times New Roman" w:cs="Times New Roman"/>
          <w:bCs/>
          <w:lang w:val="es-ES" w:eastAsia="es-ES"/>
        </w:rPr>
      </w:pPr>
    </w:p>
    <w:p>
      <w:pPr>
        <w:autoSpaceDE w:val="0"/>
        <w:autoSpaceDN w:val="0"/>
        <w:adjustRightInd w:val="0"/>
        <w:spacing w:after="0"/>
        <w:jc w:val="both"/>
        <w:rPr>
          <w:rFonts w:ascii="Times New Roman" w:hAnsi="Times New Roman" w:eastAsia="Times New Roman" w:cs="Times New Roman"/>
          <w:bCs/>
          <w:lang w:val="es-ES" w:eastAsia="es-ES"/>
        </w:rPr>
      </w:pPr>
    </w:p>
    <w:p>
      <w:pPr>
        <w:autoSpaceDE w:val="0"/>
        <w:autoSpaceDN w:val="0"/>
        <w:adjustRightInd w:val="0"/>
        <w:spacing w:after="0"/>
        <w:jc w:val="both"/>
        <w:rPr>
          <w:rFonts w:ascii="Times New Roman" w:hAnsi="Times New Roman" w:eastAsia="Times New Roman" w:cs="Times New Roman"/>
          <w:bCs/>
          <w:lang w:val="es-ES" w:eastAsia="es-ES"/>
        </w:rPr>
      </w:pPr>
    </w:p>
    <w:p>
      <w:pPr>
        <w:autoSpaceDE w:val="0"/>
        <w:autoSpaceDN w:val="0"/>
        <w:adjustRightInd w:val="0"/>
        <w:spacing w:after="0"/>
        <w:jc w:val="both"/>
        <w:rPr>
          <w:rFonts w:ascii="Times New Roman" w:hAnsi="Times New Roman" w:eastAsia="Times New Roman" w:cs="Times New Roman"/>
          <w:bCs/>
          <w:lang w:val="es-ES" w:eastAsia="es-ES"/>
        </w:rPr>
      </w:pPr>
    </w:p>
    <w:p>
      <w:pPr>
        <w:autoSpaceDE w:val="0"/>
        <w:autoSpaceDN w:val="0"/>
        <w:adjustRightInd w:val="0"/>
        <w:spacing w:after="0"/>
        <w:jc w:val="both"/>
        <w:rPr>
          <w:rFonts w:ascii="Times New Roman" w:hAnsi="Times New Roman" w:eastAsia="Times New Roman" w:cs="Times New Roman"/>
          <w:bCs/>
          <w:vanish/>
          <w:lang w:val="es-ES" w:eastAsia="es-ES"/>
        </w:rPr>
      </w:pPr>
    </w:p>
    <w:p>
      <w:pPr>
        <w:autoSpaceDE w:val="0"/>
        <w:autoSpaceDN w:val="0"/>
        <w:adjustRightInd w:val="0"/>
        <w:spacing w:after="0"/>
        <w:jc w:val="both"/>
        <w:rPr>
          <w:rFonts w:ascii="Times New Roman" w:hAnsi="Times New Roman" w:eastAsia="Times New Roman" w:cs="Times New Roman"/>
          <w:bCs/>
          <w:lang w:eastAsia="es-ES"/>
        </w:rPr>
      </w:pPr>
    </w:p>
    <w:p>
      <w:pPr>
        <w:autoSpaceDE w:val="0"/>
        <w:autoSpaceDN w:val="0"/>
        <w:adjustRightInd w:val="0"/>
        <w:spacing w:after="0"/>
        <w:jc w:val="both"/>
        <w:rPr>
          <w:rFonts w:ascii="Times New Roman" w:hAnsi="Times New Roman" w:eastAsia="Times New Roman" w:cs="Times New Roman"/>
          <w:bCs/>
          <w:lang w:eastAsia="es-ES"/>
        </w:rPr>
      </w:pPr>
    </w:p>
    <w:p>
      <w:pPr>
        <w:autoSpaceDE w:val="0"/>
        <w:autoSpaceDN w:val="0"/>
        <w:adjustRightInd w:val="0"/>
        <w:spacing w:after="0"/>
        <w:jc w:val="both"/>
        <w:rPr>
          <w:rFonts w:ascii="Times New Roman" w:hAnsi="Times New Roman" w:eastAsia="Times New Roman" w:cs="Times New Roman"/>
          <w:bCs/>
          <w:vanish/>
          <w:lang w:val="es-ES" w:eastAsia="es-ES"/>
        </w:rPr>
      </w:pPr>
    </w:p>
    <w:p>
      <w:pPr>
        <w:autoSpaceDE w:val="0"/>
        <w:autoSpaceDN w:val="0"/>
        <w:adjustRightInd w:val="0"/>
        <w:spacing w:after="0"/>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26 de julio de 2019, se indica que el polígono consta de un área aproximada de 1,423.45 m2 y se ubica en la provincia de Los Santos, distrito de Las Tablas, corregimiento de El Cocal (Ver expediente digital). </w:t>
      </w:r>
    </w:p>
    <w:p>
      <w:pPr>
        <w:autoSpaceDE w:val="0"/>
        <w:autoSpaceDN w:val="0"/>
        <w:adjustRightInd w:val="0"/>
        <w:spacing w:after="0"/>
        <w:jc w:val="both"/>
        <w:rPr>
          <w:rFonts w:ascii="Times New Roman" w:hAnsi="Times New Roman" w:eastAsia="Times New Roman" w:cs="Times New Roman"/>
          <w:bCs/>
          <w:sz w:val="24"/>
          <w:szCs w:val="24"/>
          <w:highlight w:val="yellow"/>
          <w:lang w:eastAsia="es-ES"/>
        </w:rPr>
      </w:pP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nota </w:t>
      </w:r>
      <w:r>
        <w:rPr>
          <w:rFonts w:ascii="Times New Roman" w:hAnsi="Times New Roman" w:eastAsia="Times New Roman" w:cs="Times New Roman"/>
          <w:b/>
          <w:bCs/>
          <w:sz w:val="24"/>
          <w:szCs w:val="24"/>
          <w:lang w:eastAsia="es-ES"/>
        </w:rPr>
        <w:t>DRLS-AC-0550-19</w:t>
      </w:r>
      <w:r>
        <w:rPr>
          <w:rFonts w:ascii="Times New Roman" w:hAnsi="Times New Roman" w:eastAsia="Times New Roman" w:cs="Times New Roman"/>
          <w:bCs/>
          <w:sz w:val="24"/>
          <w:szCs w:val="24"/>
          <w:lang w:eastAsia="es-ES"/>
        </w:rPr>
        <w:t xml:space="preserve">, del 6 de agosto de 2019, notificada 6 de agosto de 2019, la </w:t>
      </w:r>
      <w:r>
        <w:rPr>
          <w:rFonts w:ascii="Times New Roman" w:hAnsi="Times New Roman" w:eastAsia="Times New Roman" w:cs="Times New Roman"/>
          <w:b/>
          <w:bCs/>
          <w:sz w:val="24"/>
          <w:szCs w:val="24"/>
          <w:lang w:eastAsia="es-ES"/>
        </w:rPr>
        <w:t>Dirección Regional de Ministerio de Ambiente de Los Santos,</w:t>
      </w:r>
      <w:r>
        <w:rPr>
          <w:rFonts w:ascii="Times New Roman" w:hAnsi="Times New Roman" w:eastAsia="Times New Roman" w:cs="Times New Roman"/>
          <w:bCs/>
          <w:sz w:val="24"/>
          <w:szCs w:val="24"/>
          <w:lang w:eastAsia="es-ES"/>
        </w:rPr>
        <w:t xml:space="preserve"> solicita al promotor primera información aclaratoria del EsIA en evaluación. (Ver expediente digital). </w:t>
      </w:r>
    </w:p>
    <w:p>
      <w:pPr>
        <w:autoSpaceDE w:val="0"/>
        <w:autoSpaceDN w:val="0"/>
        <w:adjustRightInd w:val="0"/>
        <w:spacing w:after="0"/>
        <w:jc w:val="both"/>
        <w:rPr>
          <w:rFonts w:ascii="Times New Roman" w:hAnsi="Times New Roman" w:eastAsia="Times New Roman" w:cs="Times New Roman"/>
          <w:bCs/>
          <w:sz w:val="24"/>
          <w:szCs w:val="24"/>
          <w:highlight w:val="yellow"/>
          <w:lang w:eastAsia="es-ES"/>
        </w:rPr>
      </w:pP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Mediante nota sin número</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recibida el 12 de agosto de 2019, el promotor da respuesta a la primera información aclaratoria del EsIA, solicitada a través de la nota </w:t>
      </w:r>
      <w:r>
        <w:rPr>
          <w:rFonts w:ascii="Times New Roman" w:hAnsi="Times New Roman" w:eastAsia="Times New Roman" w:cs="Times New Roman"/>
          <w:b/>
          <w:bCs/>
          <w:sz w:val="24"/>
          <w:szCs w:val="24"/>
          <w:lang w:eastAsia="es-ES"/>
        </w:rPr>
        <w:t xml:space="preserve">DRLS-AC-0550-2019 </w:t>
      </w:r>
      <w:r>
        <w:rPr>
          <w:rFonts w:ascii="Times New Roman" w:hAnsi="Times New Roman" w:eastAsia="Times New Roman" w:cs="Times New Roman"/>
          <w:bCs/>
          <w:sz w:val="24"/>
          <w:szCs w:val="24"/>
          <w:lang w:eastAsia="es-ES"/>
        </w:rPr>
        <w:t>(ver expediente digital).</w:t>
      </w:r>
    </w:p>
    <w:p>
      <w:pPr>
        <w:autoSpaceDE w:val="0"/>
        <w:autoSpaceDN w:val="0"/>
        <w:adjustRightInd w:val="0"/>
        <w:spacing w:after="0"/>
        <w:jc w:val="both"/>
        <w:rPr>
          <w:rFonts w:ascii="Times New Roman" w:hAnsi="Times New Roman" w:eastAsia="Times New Roman" w:cs="Times New Roman"/>
          <w:bCs/>
          <w:sz w:val="24"/>
          <w:szCs w:val="24"/>
          <w:lang w:eastAsia="es-ES"/>
        </w:rPr>
      </w:pP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nota </w:t>
      </w:r>
      <w:r>
        <w:rPr>
          <w:rFonts w:ascii="Times New Roman" w:hAnsi="Times New Roman" w:eastAsia="Times New Roman" w:cs="Times New Roman"/>
          <w:b/>
          <w:bCs/>
          <w:sz w:val="24"/>
          <w:szCs w:val="24"/>
          <w:lang w:eastAsia="es-ES"/>
        </w:rPr>
        <w:t>DRLS-AC-0585-19</w:t>
      </w:r>
      <w:r>
        <w:rPr>
          <w:rFonts w:ascii="Times New Roman" w:hAnsi="Times New Roman" w:eastAsia="Times New Roman" w:cs="Times New Roman"/>
          <w:bCs/>
          <w:sz w:val="24"/>
          <w:szCs w:val="24"/>
          <w:lang w:eastAsia="es-ES"/>
        </w:rPr>
        <w:t xml:space="preserve">, del 19 de agosto de 2019, notificada el 20 de agosto de 2019, la </w:t>
      </w:r>
      <w:r>
        <w:rPr>
          <w:rFonts w:ascii="Times New Roman" w:hAnsi="Times New Roman" w:eastAsia="Times New Roman" w:cs="Times New Roman"/>
          <w:b/>
          <w:bCs/>
          <w:sz w:val="24"/>
          <w:szCs w:val="24"/>
          <w:lang w:eastAsia="es-ES"/>
        </w:rPr>
        <w:t>Dirección Regional de Ministerio de Ambiente de Los Santos,</w:t>
      </w:r>
      <w:r>
        <w:rPr>
          <w:rFonts w:ascii="Times New Roman" w:hAnsi="Times New Roman" w:eastAsia="Times New Roman" w:cs="Times New Roman"/>
          <w:bCs/>
          <w:sz w:val="24"/>
          <w:szCs w:val="24"/>
          <w:lang w:eastAsia="es-ES"/>
        </w:rPr>
        <w:t xml:space="preserve"> solicita al promotor la segunda información aclaratoria del EsIA en evaluación. (Ver expediente digital). </w:t>
      </w:r>
    </w:p>
    <w:p>
      <w:pPr>
        <w:autoSpaceDE w:val="0"/>
        <w:autoSpaceDN w:val="0"/>
        <w:adjustRightInd w:val="0"/>
        <w:spacing w:after="0"/>
        <w:jc w:val="both"/>
        <w:rPr>
          <w:rFonts w:ascii="Times New Roman" w:hAnsi="Times New Roman" w:eastAsia="Times New Roman" w:cs="Times New Roman"/>
          <w:bCs/>
          <w:sz w:val="24"/>
          <w:szCs w:val="24"/>
          <w:highlight w:val="yellow"/>
          <w:lang w:eastAsia="es-ES"/>
        </w:rPr>
      </w:pPr>
      <w:r>
        <w:rPr>
          <w:rFonts w:ascii="Times New Roman" w:hAnsi="Times New Roman" w:eastAsia="Times New Roman" w:cs="Times New Roman"/>
          <w:bCs/>
          <w:sz w:val="24"/>
          <w:szCs w:val="24"/>
          <w:highlight w:val="yellow"/>
          <w:lang w:eastAsia="es-ES"/>
        </w:rPr>
        <w:t xml:space="preserve"> </w:t>
      </w:r>
    </w:p>
    <w:p>
      <w:pPr>
        <w:autoSpaceDE w:val="0"/>
        <w:autoSpaceDN w:val="0"/>
        <w:adjustRightInd w:val="0"/>
        <w:spacing w:after="0"/>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Mediante nota sin número</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recibida el 21 de agosto de 2019, el promotor da respuesta a la primera información aclaratoria del EsIA, solicitada a través de la nota </w:t>
      </w:r>
      <w:r>
        <w:rPr>
          <w:rFonts w:ascii="Times New Roman" w:hAnsi="Times New Roman" w:eastAsia="Times New Roman" w:cs="Times New Roman"/>
          <w:b/>
          <w:bCs/>
          <w:sz w:val="24"/>
          <w:szCs w:val="24"/>
          <w:lang w:eastAsia="es-ES"/>
        </w:rPr>
        <w:t xml:space="preserve">DRLS-AC-0585-2019 </w:t>
      </w:r>
      <w:r>
        <w:rPr>
          <w:rFonts w:ascii="Times New Roman" w:hAnsi="Times New Roman" w:eastAsia="Times New Roman" w:cs="Times New Roman"/>
          <w:bCs/>
          <w:sz w:val="24"/>
          <w:szCs w:val="24"/>
          <w:lang w:eastAsia="es-ES"/>
        </w:rPr>
        <w:t>(ver expediente digital).</w:t>
      </w:r>
    </w:p>
    <w:p>
      <w:pPr>
        <w:autoSpaceDE w:val="0"/>
        <w:autoSpaceDN w:val="0"/>
        <w:adjustRightInd w:val="0"/>
        <w:spacing w:after="0"/>
        <w:jc w:val="both"/>
        <w:rPr>
          <w:rFonts w:ascii="Times New Roman" w:hAnsi="Times New Roman" w:eastAsia="Times New Roman" w:cs="Times New Roman"/>
          <w:bCs/>
          <w:sz w:val="24"/>
          <w:szCs w:val="24"/>
          <w:lang w:eastAsia="es-ES"/>
        </w:rPr>
      </w:pPr>
    </w:p>
    <w:p>
      <w:pPr>
        <w:spacing w:after="0"/>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val="es-MX" w:eastAsia="es-PA"/>
        </w:rPr>
        <w:t>ESTACIÓN DE SERVICIO Y LOCAL COMERCIAL</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jc w:val="both"/>
        <w:rPr>
          <w:rFonts w:ascii="Times New Roman" w:hAnsi="Times New Roman" w:cs="Times New Roman"/>
          <w:spacing w:val="-3"/>
          <w:sz w:val="24"/>
          <w:szCs w:val="24"/>
          <w:lang/>
        </w:rPr>
      </w:pPr>
    </w:p>
    <w:p>
      <w:pPr>
        <w:spacing w:after="0"/>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jc w:val="both"/>
        <w:rPr>
          <w:rFonts w:ascii="Times New Roman" w:hAnsi="Times New Roman" w:cs="Times New Roman"/>
          <w:spacing w:val="-3"/>
          <w:sz w:val="24"/>
          <w:szCs w:val="24"/>
          <w:lang/>
        </w:rPr>
      </w:pPr>
    </w:p>
    <w:p>
      <w:pPr>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jc w:val="both"/>
        <w:rPr>
          <w:rFonts w:ascii="Times New Roman" w:hAnsi="Times New Roman" w:eastAsia="Times New Roman" w:cs="Times New Roman"/>
          <w:spacing w:val="-3"/>
          <w:sz w:val="24"/>
          <w:szCs w:val="24"/>
          <w:lang w:eastAsia="es-ES"/>
        </w:rPr>
      </w:pPr>
    </w:p>
    <w:p>
      <w:pPr>
        <w:spacing w:after="0"/>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jc w:val="both"/>
        <w:rPr>
          <w:rFonts w:ascii="Times New Roman" w:hAnsi="Times New Roman" w:eastAsia="Times New Roman" w:cs="Times New Roman"/>
          <w:spacing w:val="-3"/>
          <w:sz w:val="24"/>
          <w:szCs w:val="24"/>
          <w:lang w:eastAsia="zh-CN"/>
        </w:rPr>
      </w:pPr>
    </w:p>
    <w:p>
      <w:pPr>
        <w:spacing w:after="0"/>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jc w:val="both"/>
        <w:rPr>
          <w:rFonts w:ascii="Times New Roman" w:hAnsi="Times New Roman" w:eastAsia="Times New Roman" w:cs="Times New Roman"/>
          <w:spacing w:val="-3"/>
          <w:sz w:val="24"/>
          <w:szCs w:val="24"/>
          <w:lang w:eastAsia="zh-CN"/>
        </w:rPr>
      </w:pPr>
    </w:p>
    <w:p>
      <w:pPr>
        <w:spacing w:after="0"/>
        <w:jc w:val="both"/>
        <w:rPr>
          <w:rFonts w:ascii="Times New Roman" w:hAnsi="Times New Roman" w:eastAsia="Times New Roman" w:cs="Times New Roman"/>
          <w:spacing w:val="-3"/>
          <w:sz w:val="24"/>
          <w:szCs w:val="24"/>
          <w:lang w:eastAsia="zh-CN"/>
        </w:rPr>
      </w:pPr>
    </w:p>
    <w:p>
      <w:pPr>
        <w:spacing w:after="0"/>
        <w:jc w:val="both"/>
        <w:rPr>
          <w:rFonts w:ascii="Times New Roman" w:hAnsi="Times New Roman" w:eastAsia="Times New Roman" w:cs="Times New Roman"/>
          <w:spacing w:val="-3"/>
          <w:sz w:val="24"/>
          <w:szCs w:val="24"/>
          <w:lang w:eastAsia="zh-CN"/>
        </w:rPr>
      </w:pPr>
    </w:p>
    <w:p>
      <w:pPr>
        <w:spacing w:after="0"/>
        <w:jc w:val="both"/>
        <w:rPr>
          <w:rFonts w:ascii="Times New Roman" w:hAnsi="Times New Roman" w:cs="Times New Roman"/>
          <w:spacing w:val="-3"/>
          <w:sz w:val="24"/>
          <w:szCs w:val="24"/>
          <w:lang/>
        </w:rPr>
      </w:pPr>
    </w:p>
    <w:p>
      <w:pPr>
        <w:spacing w:after="0"/>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jc w:val="center"/>
        <w:rPr>
          <w:rFonts w:ascii="Times New Roman" w:hAnsi="Times New Roman" w:eastAsia="Calibri" w:cs="Times New Roman"/>
          <w:b/>
          <w:sz w:val="24"/>
          <w:szCs w:val="24"/>
          <w:lang w:val="es-ES"/>
        </w:rPr>
      </w:pPr>
    </w:p>
    <w:p>
      <w:pPr>
        <w:pStyle w:val="8"/>
        <w:widowControl/>
        <w:spacing w:line="276" w:lineRule="auto"/>
        <w:rPr>
          <w:sz w:val="24"/>
          <w:szCs w:val="24"/>
        </w:rPr>
      </w:pPr>
      <w:r>
        <w:rPr>
          <w:b/>
          <w:sz w:val="24"/>
          <w:szCs w:val="24"/>
        </w:rPr>
        <w:t xml:space="preserve">Artículo 1. </w:t>
      </w:r>
      <w:r>
        <w:rPr>
          <w:sz w:val="24"/>
          <w:szCs w:val="24"/>
        </w:rPr>
        <w:t xml:space="preserve">APROBAR el Estudio de Impacto Ambiental, categoría I, correspondiente al proyecto denominado </w:t>
      </w:r>
      <w:r>
        <w:rPr>
          <w:rFonts w:eastAsia="SimSun"/>
          <w:b/>
          <w:sz w:val="24"/>
          <w:szCs w:val="24"/>
          <w:lang w:val="es-PA"/>
        </w:rPr>
        <w:t>“</w:t>
      </w:r>
      <w:r>
        <w:rPr>
          <w:b/>
          <w:bCs/>
          <w:color w:val="000000"/>
          <w:spacing w:val="0"/>
          <w:sz w:val="24"/>
          <w:szCs w:val="24"/>
          <w:lang w:val="es-MX" w:eastAsia="es-PA"/>
        </w:rPr>
        <w:t>ESTACIÓN DE SERVICIO Y LOCAL COMERCIAL</w:t>
      </w:r>
      <w:r>
        <w:rPr>
          <w:rFonts w:eastAsia="SimSun"/>
          <w:b/>
          <w:sz w:val="24"/>
          <w:szCs w:val="24"/>
          <w:lang w:val="es-PA"/>
        </w:rPr>
        <w:t>”</w:t>
      </w:r>
      <w:r>
        <w:rPr>
          <w:sz w:val="24"/>
          <w:szCs w:val="24"/>
        </w:rPr>
        <w:t xml:space="preserve">, cuyo promotor </w:t>
      </w:r>
      <w:r>
        <w:rPr>
          <w:sz w:val="24"/>
          <w:szCs w:val="24"/>
          <w:lang w:val="es-MX"/>
        </w:rPr>
        <w:t>el</w:t>
      </w:r>
      <w:r>
        <w:rPr>
          <w:sz w:val="24"/>
          <w:szCs w:val="24"/>
          <w:lang w:val="es-PA"/>
        </w:rPr>
        <w:t xml:space="preserve"> </w:t>
      </w:r>
      <w:r>
        <w:rPr>
          <w:sz w:val="24"/>
          <w:szCs w:val="24"/>
          <w:lang w:val="es-ES"/>
        </w:rPr>
        <w:t xml:space="preserve">Señor </w:t>
      </w:r>
      <w:r>
        <w:rPr>
          <w:b/>
          <w:bCs/>
          <w:sz w:val="24"/>
          <w:szCs w:val="24"/>
          <w:lang w:val="es-PA"/>
        </w:rPr>
        <w:t>EDWIN I. CANO S,</w:t>
      </w:r>
      <w:r>
        <w:rPr>
          <w:sz w:val="24"/>
          <w:szCs w:val="24"/>
          <w:lang w:val="es-PA"/>
        </w:rPr>
        <w:t xml:space="preserve"> </w:t>
      </w:r>
      <w:r>
        <w:rPr>
          <w:sz w:val="24"/>
          <w:szCs w:val="24"/>
          <w:lang w:val="es-MX"/>
        </w:rPr>
        <w:t>portador de la cédula de identidad personal</w:t>
      </w:r>
      <w:r>
        <w:rPr>
          <w:sz w:val="24"/>
          <w:szCs w:val="24"/>
          <w:lang w:val="es-PA"/>
        </w:rPr>
        <w:t xml:space="preserve"> </w:t>
      </w:r>
      <w:r>
        <w:rPr>
          <w:bCs/>
          <w:sz w:val="24"/>
          <w:szCs w:val="24"/>
          <w:lang w:val="es-PA"/>
        </w:rPr>
        <w:t>N° 7-65-976,</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8"/>
        <w:widowControl/>
        <w:spacing w:line="276" w:lineRule="auto"/>
        <w:rPr>
          <w:color w:val="000000"/>
          <w:sz w:val="24"/>
          <w:szCs w:val="24"/>
          <w:lang w:val="es-PA"/>
        </w:rPr>
      </w:pPr>
      <w:r>
        <w:rPr>
          <w:color w:val="000000"/>
          <w:sz w:val="24"/>
          <w:szCs w:val="24"/>
          <w:lang w:val="es-PA"/>
        </w:rPr>
        <w:t xml:space="preserve"> </w:t>
      </w:r>
    </w:p>
    <w:p>
      <w:pPr>
        <w:pStyle w:val="8"/>
        <w:widowControl/>
        <w:spacing w:line="276" w:lineRule="auto"/>
        <w:rPr>
          <w:b/>
          <w:color w:val="000000"/>
          <w:sz w:val="24"/>
          <w:szCs w:val="24"/>
          <w:lang w:val="es-PA"/>
        </w:rPr>
      </w:pPr>
      <w:r>
        <w:rPr>
          <w:b/>
          <w:sz w:val="24"/>
          <w:szCs w:val="24"/>
        </w:rPr>
        <w:t>Artículo 2.</w:t>
      </w:r>
      <w:r>
        <w:rPr>
          <w:sz w:val="24"/>
          <w:szCs w:val="24"/>
        </w:rPr>
        <w:t xml:space="preserve"> ADVERTIR al </w:t>
      </w:r>
      <w:r>
        <w:rPr>
          <w:sz w:val="24"/>
          <w:szCs w:val="24"/>
          <w:lang w:val="es-ES"/>
        </w:rPr>
        <w:t xml:space="preserve">Señor </w:t>
      </w:r>
      <w:r>
        <w:rPr>
          <w:b/>
          <w:bCs/>
          <w:sz w:val="24"/>
          <w:szCs w:val="24"/>
          <w:lang w:val="es-PA"/>
        </w:rPr>
        <w:t>EDWIN I. CANO S,</w:t>
      </w:r>
      <w:r>
        <w:rPr>
          <w:sz w:val="24"/>
          <w:szCs w:val="24"/>
          <w:lang w:val="es-PA"/>
        </w:rPr>
        <w:t xml:space="preserve"> </w:t>
      </w:r>
      <w:r>
        <w:rPr>
          <w:sz w:val="24"/>
          <w:szCs w:val="24"/>
          <w:lang w:val="es-MX"/>
        </w:rPr>
        <w:t>portador de la cédula de identidad personal</w:t>
      </w:r>
      <w:r>
        <w:rPr>
          <w:sz w:val="24"/>
          <w:szCs w:val="24"/>
          <w:lang w:val="es-PA"/>
        </w:rPr>
        <w:t xml:space="preserve"> </w:t>
      </w:r>
      <w:r>
        <w:rPr>
          <w:bCs/>
          <w:sz w:val="24"/>
          <w:szCs w:val="24"/>
          <w:lang w:val="es-PA"/>
        </w:rPr>
        <w:t>N° 7-65-976,</w:t>
      </w:r>
      <w:r>
        <w:rPr>
          <w:b/>
          <w:sz w:val="24"/>
          <w:szCs w:val="24"/>
          <w:lang w:val="es-PA"/>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jc w:val="both"/>
        <w:rPr>
          <w:rFonts w:ascii="Times New Roman" w:hAnsi="Times New Roman" w:cs="Times New Roman"/>
          <w:spacing w:val="-3"/>
          <w:sz w:val="24"/>
          <w:szCs w:val="24"/>
          <w:lang/>
        </w:rPr>
      </w:pPr>
    </w:p>
    <w:p>
      <w:pPr>
        <w:pStyle w:val="8"/>
        <w:widowControl/>
        <w:spacing w:line="276" w:lineRule="auto"/>
        <w:rPr>
          <w:b/>
          <w:color w:val="000000"/>
          <w:sz w:val="24"/>
          <w:szCs w:val="24"/>
          <w:lang w:val="es-PA"/>
        </w:rPr>
      </w:pPr>
      <w:r>
        <w:rPr>
          <w:b/>
          <w:sz w:val="24"/>
          <w:szCs w:val="24"/>
        </w:rPr>
        <w:t>Artículo 3.</w:t>
      </w:r>
      <w:r>
        <w:rPr>
          <w:sz w:val="24"/>
          <w:szCs w:val="24"/>
        </w:rPr>
        <w:t xml:space="preserve"> ADVERTIR al </w:t>
      </w:r>
      <w:r>
        <w:rPr>
          <w:sz w:val="24"/>
          <w:szCs w:val="24"/>
          <w:lang w:val="es-ES"/>
        </w:rPr>
        <w:t xml:space="preserve">Señor </w:t>
      </w:r>
      <w:r>
        <w:rPr>
          <w:b/>
          <w:bCs/>
          <w:sz w:val="24"/>
          <w:szCs w:val="24"/>
          <w:lang w:val="es-PA"/>
        </w:rPr>
        <w:t>EDWIN I. CANO S,</w:t>
      </w:r>
      <w:r>
        <w:rPr>
          <w:sz w:val="24"/>
          <w:szCs w:val="24"/>
          <w:lang w:val="es-PA"/>
        </w:rPr>
        <w:t xml:space="preserve"> </w:t>
      </w:r>
      <w:r>
        <w:rPr>
          <w:sz w:val="24"/>
          <w:szCs w:val="24"/>
          <w:lang w:val="es-MX"/>
        </w:rPr>
        <w:t>portador de la cédula de identidad personal</w:t>
      </w:r>
      <w:r>
        <w:rPr>
          <w:sz w:val="24"/>
          <w:szCs w:val="24"/>
          <w:lang w:val="es-PA"/>
        </w:rPr>
        <w:t xml:space="preserve"> </w:t>
      </w:r>
      <w:r>
        <w:rPr>
          <w:bCs/>
          <w:sz w:val="24"/>
          <w:szCs w:val="24"/>
          <w:lang w:val="es-PA"/>
        </w:rPr>
        <w:t>N° 7-65-976,</w:t>
      </w:r>
      <w:r>
        <w:rPr>
          <w:b/>
          <w:sz w:val="24"/>
          <w:szCs w:val="24"/>
          <w:lang w:val="es-PA"/>
        </w:rPr>
        <w:t xml:space="preserve"> </w:t>
      </w:r>
      <w:r>
        <w:rPr>
          <w:sz w:val="24"/>
          <w:szCs w:val="24"/>
        </w:rPr>
        <w:t>que esta resolución no constituye una excepción para el cumplimiento de las normas legales y reglamentarias aplicables a la actividad correspondiente.</w:t>
      </w:r>
    </w:p>
    <w:p>
      <w:pPr>
        <w:tabs>
          <w:tab w:val="left" w:pos="0"/>
        </w:tabs>
        <w:suppressAutoHyphens/>
        <w:spacing w:after="0"/>
        <w:jc w:val="both"/>
        <w:rPr>
          <w:rFonts w:ascii="Times New Roman" w:hAnsi="Times New Roman" w:cs="Times New Roman"/>
          <w:spacing w:val="-3"/>
          <w:sz w:val="24"/>
          <w:szCs w:val="24"/>
          <w:lang/>
        </w:rPr>
      </w:pPr>
    </w:p>
    <w:p>
      <w:pPr>
        <w:jc w:val="both"/>
        <w:outlineLvl w:val="1"/>
        <w:rPr>
          <w:rFonts w:ascii="Times New Roman" w:hAnsi="Times New Roman" w:eastAsia="SimSu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xml:space="preserve">. ADVERTIR al </w:t>
      </w:r>
      <w:r>
        <w:rPr>
          <w:rFonts w:ascii="Times New Roman" w:hAnsi="Times New Roman" w:cs="Times New Roman"/>
          <w:sz w:val="24"/>
          <w:szCs w:val="24"/>
          <w:lang w:val="es-ES"/>
        </w:rPr>
        <w:t xml:space="preserve">Señor </w:t>
      </w:r>
      <w:r>
        <w:rPr>
          <w:rFonts w:ascii="Times New Roman" w:hAnsi="Times New Roman" w:cs="Times New Roman"/>
          <w:b/>
          <w:bCs/>
          <w:sz w:val="24"/>
          <w:szCs w:val="24"/>
        </w:rPr>
        <w:t>EDWIN I. CANO S,</w:t>
      </w:r>
      <w:r>
        <w:rPr>
          <w:rFonts w:ascii="Times New Roman" w:hAnsi="Times New Roman" w:cs="Times New Roman"/>
          <w:sz w:val="24"/>
          <w:szCs w:val="24"/>
        </w:rPr>
        <w:t xml:space="preserve"> </w:t>
      </w:r>
      <w:r>
        <w:rPr>
          <w:rFonts w:ascii="Times New Roman" w:hAnsi="Times New Roman" w:cs="Times New Roman"/>
          <w:sz w:val="24"/>
          <w:szCs w:val="24"/>
          <w:lang w:val="es-MX"/>
        </w:rPr>
        <w:t>portador de la cédula de identidad personal</w:t>
      </w:r>
      <w:r>
        <w:rPr>
          <w:rFonts w:ascii="Times New Roman" w:hAnsi="Times New Roman" w:cs="Times New Roman"/>
          <w:sz w:val="24"/>
          <w:szCs w:val="24"/>
        </w:rPr>
        <w:t xml:space="preserve"> </w:t>
      </w:r>
      <w:r>
        <w:rPr>
          <w:rFonts w:ascii="Times New Roman" w:hAnsi="Times New Roman" w:cs="Times New Roman"/>
          <w:bCs/>
          <w:sz w:val="24"/>
          <w:szCs w:val="24"/>
        </w:rPr>
        <w:t>N° 7-65-976,</w:t>
      </w:r>
      <w:r>
        <w:rPr>
          <w:rFonts w:ascii="Times New Roman" w:hAnsi="Times New Roman" w:cs="Times New Roman"/>
          <w:b/>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pStyle w:val="8"/>
        <w:numPr>
          <w:ilvl w:val="0"/>
          <w:numId w:val="1"/>
        </w:numPr>
        <w:spacing w:line="276" w:lineRule="auto"/>
        <w:rPr>
          <w:rFonts w:eastAsia="SimSun"/>
          <w:sz w:val="24"/>
          <w:szCs w:val="24"/>
          <w:lang w:val="es-PA"/>
        </w:rPr>
      </w:pPr>
      <w:r>
        <w:rPr>
          <w:rFonts w:eastAsia="SimSun"/>
          <w:sz w:val="24"/>
          <w:szCs w:val="24"/>
          <w:lang w:val="es-PA"/>
        </w:rPr>
        <w:t>Colocar, dentro del área del proyecto y antes de iniciar su ejecución, un letrero en un lugar visible con el contenido establecido en formato adjunto.</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Reportar de inmediato al Instituto Nacional de Cultura, el hallazgo de cualquier objeto de valor histórico o arqueológico para realizar el respectivo rescate.</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Notificar por escrito, previamente del inicio de la obra, a la Dirección Regional del Ministerio de Ambiente de Los Santos, a la Sección de Evaluación de Impacto Ambiental.</w:t>
      </w:r>
      <w:r>
        <w:rPr>
          <w:rFonts w:eastAsia="SimSun"/>
          <w:sz w:val="24"/>
          <w:szCs w:val="24"/>
        </w:rPr>
        <w:t xml:space="preserve"> </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el Decreto Ejecutivo N°2 de 15 de febrero de 2008, “Por el cual se reglamenta la seguridad, salud e higiene en la industria de la construcción”.</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Previo al inicio de la obra remediar conflictos con la comunidad opositora al proyecto y actuar, siempre mostrando su mejor disposición, ante cualquier conflicto que se presente, en lo que respecta a la población afectada por el desarrollo del proyecto, para conciliar con las partes actuando de buena fe.</w:t>
      </w:r>
    </w:p>
    <w:p>
      <w:pPr>
        <w:pStyle w:val="8"/>
        <w:spacing w:line="276" w:lineRule="auto"/>
        <w:ind w:left="540"/>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Previo a la aprobación del Benemérito Cuerpo de Bomberos de Panamá, presentar certificación de la distancia para la ubicación de las estaciones de combustible, cumpliendo con lo establecido en la Resolución N° CDZ 003 -99 del 11 de febrero de 1999, Consejo de Directores del Cuerpo de Bomberos de la República de Panamá; Manual Técnico de Seguridad para las instalaciones, almacenamiento, manejo, distribución y transporte de productos derivados del petróleo “por la cual se establece las reglas y guías para las distancias mínimas para el establecimiento de facilidades de almacenamiento de combustible”, y con los convenios nacionales, regionales e internacionales a los que pertenezca la República de Panama, para prevenir la contaminación de las aguas y lo relativo a la cooperación para combatir los derrames de hidrocarburos.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Previo al inicio de la obra presentar informe técnico al Ministerio de Salud, en donde se indique los riesgos a la salud por la instalación de estaciones de combustible.</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Previo a la aprobación de los planos contar con la certificación de las normas de diseño establecidas por el Ministerio de Viviendas (MIVIOT).</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Presentar informe de monitoreo o de calidad de aire y ruidos previo al inicio de la obra y cada 3 meses durante la etapa de construcción, ante la Dirección Regional del Ministerio de Ambiente Los Santos; incluir los resultados en el informe de seguimiento correspondiente.</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Ante de ejecutar la obra deberá contar con la asignación de uso de suelo por la autoridad competente, según la Resolución N° 4-2009, del 20 de enero de 2009 y la Resolución N°723 del 13 de noviembre de 2015, cumpliendo con la Ley 6 del 1 de febrero de 2016, que reglamenta el ordenamiento territorial para el desarrollo urbano y su reglamentación; Decreto Ejecutivo, N°36 del 31 de agosto de 1998, Reglamento Nacional de Urbanizaciones y la asignación de código de uso de suelos, para el área que se utilizará para el proyecto.</w:t>
      </w:r>
    </w:p>
    <w:p>
      <w:pPr>
        <w:pStyle w:val="8"/>
        <w:spacing w:line="276" w:lineRule="auto"/>
        <w:ind w:left="540"/>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el Reglamento Técnico DGNTI-COPANIT 23-395-99, de agua potable, para consumo humano.</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lo establecido en la Ley 39 del 14 de agosto de 2007, “que modifica y adiciona artículo a la ley 8 de 1987”, “Que regula las actividades relacionadas a los hidrocarburos y dicta otras disposiciones”; y cumplir con el Decreto de Gabinete N°036-03, DEL 17 DE SEPTIEMBRE DE 2003, Gaceta Oficial N° 24892 del 22 de septiembre de 2003 “por la cual se establece una política nacional de hidrocarburos en la república de Panamá”.</w:t>
      </w:r>
    </w:p>
    <w:p>
      <w:pPr>
        <w:pStyle w:val="8"/>
        <w:spacing w:line="276" w:lineRule="auto"/>
        <w:ind w:left="540"/>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Coordinar con la autoridad competente en el caso de realizar cierre temporales de la vialidad, para el desarrollo del proyecto, además deberá comunicar ante anterioridad la logística a utilizar y periodo de trabajos.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Coordinar con la autoridad competente en el caso de realizar cierres temporales de vías, durante el desarrollo del proyecto, además, deberá comunicar con anterioridad la logística a utilizar y periodos de trabajos.</w:t>
      </w:r>
    </w:p>
    <w:p>
      <w:pPr>
        <w:pStyle w:val="8"/>
        <w:spacing w:line="276" w:lineRule="auto"/>
        <w:ind w:left="540"/>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Ejecutar un plan de cierre de la obra al culminar la etapa de construcción, con el cual se restauren todos los sitios o frentes utilizados y se eliminen todo tipo de desechos, equipos e insumos utilizados.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las normas, y permisos requeridos por las autoridades e instituciones competentes, aplicables a esta región y de acuerdo al tipo de proyecto.</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el Decreto Ejecutivo N° 306 del 4 de septiembre de 2002 “que adopta el reglamento para el control de los ruidos en espacios públicos, áreas residenciales o de habitación, así como en ambientes laborales”.</w:t>
      </w:r>
    </w:p>
    <w:p>
      <w:pPr>
        <w:pStyle w:val="8"/>
        <w:spacing w:line="276" w:lineRule="auto"/>
        <w:rPr>
          <w:rFonts w:eastAsia="SimSun"/>
          <w:sz w:val="24"/>
          <w:szCs w:val="24"/>
          <w:lang w:val="es-PA"/>
        </w:rPr>
      </w:pPr>
    </w:p>
    <w:p>
      <w:pPr>
        <w:pStyle w:val="8"/>
        <w:numPr>
          <w:ilvl w:val="0"/>
          <w:numId w:val="1"/>
        </w:numPr>
        <w:spacing w:line="276" w:lineRule="auto"/>
        <w:rPr>
          <w:rFonts w:eastAsia="SimSun"/>
          <w:sz w:val="24"/>
          <w:szCs w:val="24"/>
          <w:lang w:val="es-PA"/>
        </w:rPr>
      </w:pPr>
      <w:r>
        <w:rPr>
          <w:rFonts w:eastAsia="SimSun"/>
          <w:sz w:val="24"/>
          <w:szCs w:val="24"/>
          <w:lang w:val="es-PA"/>
        </w:rPr>
        <w:t>Cumplir con la Ley No. 6 de 11 de enero de 2007 que dicta normas sobre el manejo de residuos aceitosos derivados de hidrocarburos o de base sintética en el territorio nacional.</w:t>
      </w:r>
    </w:p>
    <w:p>
      <w:pPr>
        <w:pStyle w:val="18"/>
        <w:rPr>
          <w:rFonts w:eastAsia="SimSun"/>
          <w:sz w:val="24"/>
          <w:szCs w:val="24"/>
        </w:rPr>
      </w:pPr>
    </w:p>
    <w:p>
      <w:pPr>
        <w:pStyle w:val="18"/>
        <w:numPr>
          <w:ilvl w:val="0"/>
          <w:numId w:val="1"/>
        </w:numPr>
        <w:jc w:val="both"/>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Contar con los permisos correspondientes para el transporte de combustibles al área del proyecto, por las autoridades e entidades competentes e incluir dicha información en el informe de seguimiento correspondiente.</w:t>
      </w:r>
    </w:p>
    <w:p>
      <w:pPr>
        <w:pStyle w:val="18"/>
        <w:rPr>
          <w:rFonts w:ascii="Times New Roman" w:hAnsi="Times New Roman" w:eastAsia="SimSun" w:cs="Times New Roman"/>
          <w:spacing w:val="-3"/>
          <w:sz w:val="24"/>
          <w:szCs w:val="24"/>
          <w:lang w:eastAsia="es-ES"/>
        </w:rPr>
      </w:pPr>
    </w:p>
    <w:p>
      <w:pPr>
        <w:pStyle w:val="18"/>
        <w:numPr>
          <w:ilvl w:val="0"/>
          <w:numId w:val="1"/>
        </w:numPr>
        <w:jc w:val="both"/>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18"/>
        <w:rPr>
          <w:rFonts w:ascii="Times New Roman" w:hAnsi="Times New Roman" w:eastAsia="SimSun" w:cs="Times New Roman"/>
          <w:spacing w:val="-3"/>
          <w:sz w:val="24"/>
          <w:szCs w:val="24"/>
          <w:lang w:eastAsia="es-ES"/>
        </w:rPr>
      </w:pPr>
    </w:p>
    <w:p>
      <w:pPr>
        <w:pStyle w:val="18"/>
        <w:numPr>
          <w:ilvl w:val="0"/>
          <w:numId w:val="1"/>
        </w:numPr>
        <w:rPr>
          <w:rFonts w:ascii="Times New Roman" w:hAnsi="Times New Roman" w:eastAsia="SimSun" w:cs="Times New Roman"/>
          <w:spacing w:val="-3"/>
          <w:sz w:val="24"/>
          <w:szCs w:val="24"/>
          <w:lang w:eastAsia="es-ES"/>
        </w:rPr>
      </w:pPr>
      <w:r>
        <w:rPr>
          <w:rFonts w:ascii="Times New Roman" w:hAnsi="Times New Roman" w:eastAsia="SimSun" w:cs="Times New Roman"/>
          <w:spacing w:val="-3"/>
          <w:sz w:val="24"/>
          <w:szCs w:val="24"/>
          <w:lang w:eastAsia="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18"/>
        <w:rPr>
          <w:rFonts w:ascii="Times New Roman" w:hAnsi="Times New Roman" w:eastAsia="SimSun" w:cs="Times New Roman"/>
          <w:spacing w:val="-3"/>
          <w:sz w:val="24"/>
          <w:szCs w:val="24"/>
          <w:lang w:eastAsia="es-ES"/>
        </w:rPr>
      </w:pPr>
    </w:p>
    <w:p>
      <w:pPr>
        <w:pStyle w:val="18"/>
        <w:numPr>
          <w:ilvl w:val="0"/>
          <w:numId w:val="1"/>
        </w:numPr>
        <w:rPr>
          <w:sz w:val="24"/>
          <w:szCs w:val="24"/>
        </w:rPr>
      </w:pPr>
      <w:r>
        <w:rPr>
          <w:rFonts w:ascii="Times New Roman" w:hAnsi="Times New Roman" w:eastAsia="SimSun" w:cs="Times New Roman"/>
          <w:spacing w:val="-3"/>
          <w:sz w:val="24"/>
          <w:szCs w:val="24"/>
          <w:lang w:eastAsia="es-ES"/>
        </w:rPr>
        <w:t>Presentar cada tres (3)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jc w:val="both"/>
        <w:rPr>
          <w:rFonts w:ascii="Times New Roman" w:hAnsi="Times New Roman" w:cs="Times New Roman"/>
          <w:sz w:val="24"/>
          <w:szCs w:val="24"/>
          <w:lang/>
        </w:rPr>
      </w:pPr>
    </w:p>
    <w:p>
      <w:pPr>
        <w:tabs>
          <w:tab w:val="left" w:pos="0"/>
        </w:tabs>
        <w:suppressAutoHyphens/>
        <w:spacing w:after="0"/>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lang w:val="es-MX"/>
        </w:rPr>
        <w:t>ESTACIÓN DE SERVICIO Y LOCAL COMERCIAL</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jc w:val="both"/>
        <w:rPr>
          <w:rFonts w:ascii="Times New Roman" w:hAnsi="Times New Roman" w:cs="Times New Roman"/>
          <w:color w:val="FF0000"/>
          <w:sz w:val="24"/>
          <w:szCs w:val="24"/>
        </w:rPr>
      </w:pPr>
    </w:p>
    <w:p>
      <w:pPr>
        <w:adjustRightInd w:val="0"/>
        <w:spacing w:after="0"/>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jc w:val="both"/>
        <w:rPr>
          <w:rFonts w:ascii="Times New Roman" w:hAnsi="Times New Roman" w:cs="Times New Roman"/>
          <w:sz w:val="24"/>
          <w:szCs w:val="24"/>
        </w:rPr>
      </w:pPr>
    </w:p>
    <w:p>
      <w:pPr>
        <w:tabs>
          <w:tab w:val="left" w:pos="426"/>
        </w:tabs>
        <w:suppressAutoHyphens/>
        <w:spacing w:after="0"/>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jc w:val="both"/>
        <w:rPr>
          <w:rFonts w:ascii="Times New Roman" w:hAnsi="Times New Roman" w:cs="Times New Roman"/>
          <w:spacing w:val="-3"/>
          <w:sz w:val="24"/>
          <w:szCs w:val="24"/>
          <w:lang/>
        </w:rPr>
      </w:pPr>
    </w:p>
    <w:p>
      <w:pPr>
        <w:tabs>
          <w:tab w:val="left" w:pos="426"/>
        </w:tabs>
        <w:suppressAutoHyphens/>
        <w:spacing w:after="0"/>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val="es-MX" w:eastAsia="es-PA"/>
        </w:rPr>
        <w:t>ESTACIÓN DE SERVICIO Y LOCAL COMERCIAL</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jc w:val="both"/>
        <w:rPr>
          <w:rFonts w:ascii="Times New Roman" w:hAnsi="Times New Roman" w:cs="Times New Roman"/>
          <w:spacing w:val="-3"/>
          <w:sz w:val="24"/>
          <w:szCs w:val="24"/>
          <w:lang/>
        </w:rPr>
      </w:pPr>
    </w:p>
    <w:p>
      <w:pPr>
        <w:tabs>
          <w:tab w:val="left" w:pos="0"/>
        </w:tabs>
        <w:suppressAutoHyphens/>
        <w:spacing w:after="0"/>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jc w:val="both"/>
        <w:rPr>
          <w:rFonts w:ascii="Times New Roman" w:hAnsi="Times New Roman" w:cs="Times New Roman"/>
          <w:color w:val="FF0000"/>
          <w:spacing w:val="-3"/>
          <w:sz w:val="24"/>
          <w:szCs w:val="24"/>
        </w:rPr>
      </w:pPr>
    </w:p>
    <w:p>
      <w:pPr>
        <w:tabs>
          <w:tab w:val="left" w:pos="0"/>
        </w:tabs>
        <w:suppressAutoHyphens/>
        <w:snapToGrid w:val="0"/>
        <w:spacing w:after="0"/>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________________ (_______) días, del mes de _____________, del año dos mil diecinueve (2019).</w:t>
      </w:r>
    </w:p>
    <w:p>
      <w:pPr>
        <w:tabs>
          <w:tab w:val="left" w:pos="0"/>
        </w:tabs>
        <w:suppressAutoHyphens/>
        <w:snapToGrid w:val="0"/>
        <w:spacing w:after="0"/>
        <w:jc w:val="both"/>
        <w:rPr>
          <w:rFonts w:ascii="Times New Roman" w:hAnsi="Times New Roman" w:cs="Times New Roman"/>
          <w:spacing w:val="-3"/>
          <w:sz w:val="24"/>
          <w:szCs w:val="24"/>
          <w:lang/>
        </w:rPr>
      </w:pPr>
    </w:p>
    <w:p>
      <w:pPr>
        <w:tabs>
          <w:tab w:val="left" w:pos="0"/>
        </w:tabs>
        <w:suppressAutoHyphens/>
        <w:snapToGrid w:val="0"/>
        <w:spacing w:after="0"/>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jc w:val="both"/>
        <w:rPr>
          <w:rFonts w:ascii="Times New Roman" w:hAnsi="Times New Roman" w:cs="Times New Roman"/>
          <w:b/>
          <w:spacing w:val="-3"/>
          <w:sz w:val="24"/>
          <w:szCs w:val="24"/>
          <w:lang/>
        </w:rPr>
      </w:pPr>
    </w:p>
    <w:p>
      <w:pPr>
        <w:spacing w:after="0"/>
        <w:jc w:val="both"/>
        <w:rPr>
          <w:rFonts w:ascii="Times New Roman" w:hAnsi="Times New Roman" w:eastAsia="Calibri" w:cs="Times New Roman"/>
          <w:b/>
          <w:color w:val="FF0000"/>
          <w:sz w:val="24"/>
          <w:szCs w:val="24"/>
          <w:lang w:val="es-ES"/>
        </w:rPr>
      </w:pPr>
    </w:p>
    <w:p>
      <w:pPr>
        <w:spacing w:after="0"/>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61312" behindDoc="0" locked="0" layoutInCell="1" allowOverlap="1">
                <wp:simplePos x="0" y="0"/>
                <wp:positionH relativeFrom="column">
                  <wp:posOffset>-245110</wp:posOffset>
                </wp:positionH>
                <wp:positionV relativeFrom="paragraph">
                  <wp:posOffset>74295</wp:posOffset>
                </wp:positionV>
                <wp:extent cx="3028950" cy="945515"/>
                <wp:effectExtent l="0" t="0" r="0" b="6985"/>
                <wp:wrapSquare wrapText="bothSides"/>
                <wp:docPr id="1"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3028950" cy="94551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Director Regional </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pPr>
                              <w:jc w:val="center"/>
                            </w:pP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9.3pt;margin-top:5.85pt;height:74.45pt;width:238.5pt;mso-wrap-distance-bottom:3.6pt;mso-wrap-distance-left:9pt;mso-wrap-distance-right:9pt;mso-wrap-distance-top:3.6pt;z-index:251661312;mso-width-relative:page;mso-height-relative:page;" fillcolor="#FFFFFF" filled="t" stroked="f" coordsize="21600,21600" o:gfxdata="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g6pHXAAAACgEAAA8AAAAAAAAAAQAg&#10;AAAAIgAAAGRycy9kb3ducmV2LnhtbFBLAQIUABQAAAAIAIdO4kBNgaAaDwIAAAoEAAAOAAAAAAAA&#10;AAEAIAAAACYBAABkcnMvZTJvRG9jLnhtbFBLBQYAAAAABgAGAFkBAACnBQ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Director Regional </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pPr>
                        <w:jc w:val="center"/>
                      </w:pPr>
                    </w:p>
                  </w:txbxContent>
                </v:textbox>
                <w10:wrap type="square"/>
              </v:shape>
            </w:pict>
          </mc:Fallback>
        </mc:AlternateContent>
      </w: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169545</wp:posOffset>
                </wp:positionH>
                <wp:positionV relativeFrom="paragraph">
                  <wp:posOffset>203200</wp:posOffset>
                </wp:positionV>
                <wp:extent cx="2949575" cy="715010"/>
                <wp:effectExtent l="0" t="0" r="3175" b="8890"/>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49575" cy="715010"/>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JUAN J. VEGA</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spacing w:val="-3"/>
                                <w:sz w:val="24"/>
                                <w:szCs w:val="24"/>
                                <w:lang/>
                              </w:rPr>
                              <w:t>Sección de Evaluación de Impacto Ambiental</w:t>
                            </w:r>
                          </w:p>
                          <w:p>
                            <w:pPr>
                              <w:jc w:val="center"/>
                            </w:pP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3.35pt;margin-top:16pt;height:56.3pt;width:232.25pt;mso-wrap-distance-bottom:3.6pt;mso-wrap-distance-left:9pt;mso-wrap-distance-right:9pt;mso-wrap-distance-top:3.6pt;z-index:251659264;mso-width-relative:page;mso-height-relative:page;" fillcolor="#FFFFFF" filled="t" stroked="f" coordsize="21600,21600" o:gfxdata="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5MvI9YAAAAJAQAADwAAAAAAAAAB&#10;ACAAAAAiAAAAZHJzL2Rvd25yZXYueG1sUEsBAhQAFAAAAAgAh07iQJUZKlYSAgAADAQAAA4AAAAA&#10;AAAAAQAgAAAAJQEAAGRycy9lMm9Eb2MueG1sUEsFBgAAAAAGAAYAWQEAAKkFA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_______________________________</w:t>
                      </w:r>
                    </w:p>
                    <w:p>
                      <w:pPr>
                        <w:spacing w:after="0" w:line="240" w:lineRule="atLeast"/>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JUAN J. VEGA</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spacing w:val="-3"/>
                          <w:sz w:val="24"/>
                          <w:szCs w:val="24"/>
                          <w:lang/>
                        </w:rPr>
                        <w:t>Sección de Evaluación de Impacto Ambiental</w:t>
                      </w:r>
                    </w:p>
                    <w:p>
                      <w:pPr>
                        <w:jc w:val="center"/>
                      </w:pPr>
                    </w:p>
                  </w:txbxContent>
                </v:textbox>
                <w10:wrap type="square"/>
              </v:shape>
            </w:pict>
          </mc:Fallback>
        </mc:AlternateContent>
      </w: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rPr>
          <w:rFonts w:ascii="Times New Roman" w:hAnsi="Times New Roman" w:cs="Times New Roman"/>
          <w:b/>
          <w:spacing w:val="-3"/>
          <w:sz w:val="24"/>
          <w:szCs w:val="24"/>
          <w:lang/>
        </w:rPr>
      </w:pPr>
    </w:p>
    <w:p>
      <w:pPr>
        <w:spacing w:after="0"/>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jc w:val="center"/>
        <w:rPr>
          <w:rFonts w:ascii="Times New Roman" w:hAnsi="Times New Roman" w:cs="Times New Roman"/>
          <w:b/>
          <w:spacing w:val="-3"/>
          <w:sz w:val="24"/>
          <w:szCs w:val="24"/>
          <w:lang/>
        </w:rPr>
      </w:pPr>
    </w:p>
    <w:p>
      <w:pPr>
        <w:tabs>
          <w:tab w:val="center" w:pos="4512"/>
        </w:tabs>
        <w:suppressAutoHyphens/>
        <w:spacing w:after="0"/>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jc w:val="center"/>
        <w:outlineLvl w:val="0"/>
        <w:rPr>
          <w:rFonts w:ascii="Times New Roman" w:hAnsi="Times New Roman" w:cs="Times New Roman"/>
          <w:spacing w:val="-3"/>
          <w:sz w:val="24"/>
          <w:szCs w:val="24"/>
          <w:lang/>
        </w:rPr>
      </w:pPr>
    </w:p>
    <w:p>
      <w:pPr>
        <w:tabs>
          <w:tab w:val="center" w:pos="4512"/>
        </w:tabs>
        <w:suppressAutoHyphens/>
        <w:spacing w:after="0"/>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jc w:val="center"/>
        <w:rPr>
          <w:rFonts w:ascii="Times New Roman" w:hAnsi="Times New Roman" w:cs="Times New Roman"/>
          <w:spacing w:val="-3"/>
          <w:sz w:val="24"/>
          <w:szCs w:val="24"/>
          <w:lang/>
        </w:rPr>
      </w:pPr>
    </w:p>
    <w:p>
      <w:pPr>
        <w:tabs>
          <w:tab w:val="left" w:pos="0"/>
        </w:tabs>
        <w:suppressAutoHyphens/>
        <w:spacing w:after="0"/>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jc w:val="center"/>
        <w:rPr>
          <w:rFonts w:ascii="Times New Roman" w:hAnsi="Times New Roman" w:cs="Times New Roman"/>
          <w:spacing w:val="-3"/>
          <w:sz w:val="24"/>
          <w:szCs w:val="24"/>
          <w:lang/>
        </w:rPr>
      </w:pP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jc w:val="both"/>
        <w:rPr>
          <w:rFonts w:ascii="Times New Roman" w:hAnsi="Times New Roman" w:cs="Times New Roman"/>
          <w:sz w:val="24"/>
          <w:szCs w:val="24"/>
        </w:rPr>
      </w:pPr>
    </w:p>
    <w:tbl>
      <w:tblPr>
        <w:tblStyle w:val="12"/>
        <w:tblW w:w="876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76"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val="es-MX" w:eastAsia="es-PA"/>
              </w:rPr>
              <w:t>ESTACIÓN DE SERVICIO Y LOCAL COMERCIAL</w:t>
            </w:r>
            <w:r>
              <w:rPr>
                <w:rFonts w:ascii="Times New Roman" w:hAnsi="Times New Roman" w:cs="Times New Roman"/>
                <w:bCs/>
                <w:sz w:val="24"/>
                <w:szCs w:val="24"/>
              </w:rPr>
              <w:t>”</w:t>
            </w:r>
            <w:r>
              <w:rPr>
                <w:rFonts w:ascii="Times New Roman" w:hAnsi="Times New Roman" w:cs="Times New Roman"/>
                <w:sz w:val="24"/>
                <w:szCs w:val="24"/>
              </w:rPr>
              <w:t>.</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76"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76"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EDWIN I. CANO S</w:t>
            </w:r>
          </w:p>
          <w:p>
            <w:pPr>
              <w:spacing w:after="0" w:line="276"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bCs/>
                <w:lang w:val="es-ES" w:eastAsia="es-ES"/>
              </w:rPr>
              <w:t>1,955m</w:t>
            </w:r>
            <w:r>
              <w:rPr>
                <w:rFonts w:ascii="Times New Roman" w:hAnsi="Times New Roman" w:eastAsia="MS Mincho" w:cs="Times New Roman"/>
                <w:bCs/>
                <w:vertAlign w:val="superscript"/>
                <w:lang w:val="es-ES" w:eastAsia="es-ES"/>
              </w:rPr>
              <w:t>2</w:t>
            </w:r>
            <w:r>
              <w:rPr>
                <w:rFonts w:ascii="Times New Roman" w:hAnsi="Times New Roman" w:eastAsia="MS Mincho" w:cs="Times New Roman"/>
                <w:bCs/>
                <w:lang w:val="es-ES" w:eastAsia="es-ES"/>
              </w:rPr>
              <w:t xml:space="preserve"> + 50dm</w:t>
            </w:r>
            <w:r>
              <w:rPr>
                <w:rFonts w:ascii="Times New Roman" w:hAnsi="Times New Roman" w:eastAsia="MS Mincho" w:cs="Times New Roman"/>
                <w:bCs/>
                <w:vertAlign w:val="superscript"/>
                <w:lang w:val="es-ES" w:eastAsia="es-ES"/>
              </w:rPr>
              <w:t>2</w:t>
            </w:r>
            <w:r>
              <w:rPr>
                <w:rFonts w:ascii="Times New Roman" w:hAnsi="Times New Roman" w:eastAsia="MS Mincho" w:cs="Times New Roman"/>
                <w:bCs/>
                <w:lang w:val="es-ES" w:eastAsia="es-ES"/>
              </w:rPr>
              <w:t>.</w:t>
            </w:r>
          </w:p>
          <w:p>
            <w:pPr>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76"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2"/>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4230"/>
        <w:gridCol w:w="3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76" w:lineRule="auto"/>
              <w:rPr>
                <w:rFonts w:ascii="Times New Roman" w:hAnsi="Times New Roman" w:cs="Times New Roman"/>
                <w:sz w:val="24"/>
                <w:szCs w:val="24"/>
                <w:lang/>
              </w:rPr>
            </w:pPr>
          </w:p>
          <w:p>
            <w:pPr>
              <w:spacing w:after="0" w:line="276" w:lineRule="auto"/>
              <w:rPr>
                <w:rFonts w:ascii="Times New Roman" w:hAnsi="Times New Roman" w:cs="Times New Roman"/>
                <w:sz w:val="24"/>
                <w:szCs w:val="24"/>
                <w:lang/>
              </w:rPr>
            </w:pPr>
          </w:p>
          <w:p>
            <w:pPr>
              <w:spacing w:after="0" w:line="276" w:lineRule="auto"/>
              <w:rPr>
                <w:rFonts w:ascii="Times New Roman" w:hAnsi="Times New Roman" w:cs="Times New Roman"/>
                <w:sz w:val="24"/>
                <w:szCs w:val="24"/>
                <w:lang/>
              </w:rPr>
            </w:pPr>
          </w:p>
        </w:tc>
        <w:tc>
          <w:tcPr>
            <w:tcW w:w="4230" w:type="dxa"/>
          </w:tcPr>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722" w:type="dxa"/>
          </w:tcPr>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76" w:lineRule="auto"/>
              <w:jc w:val="both"/>
              <w:rPr>
                <w:rFonts w:ascii="Times New Roman" w:hAnsi="Times New Roman" w:cs="Times New Roman"/>
                <w:spacing w:val="-3"/>
                <w:sz w:val="24"/>
                <w:szCs w:val="24"/>
                <w:lang/>
              </w:rPr>
            </w:pPr>
          </w:p>
        </w:tc>
        <w:tc>
          <w:tcPr>
            <w:tcW w:w="4230" w:type="dxa"/>
          </w:tcPr>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722" w:type="dxa"/>
          </w:tcPr>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76"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7"/>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7"/>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7"/>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7"/>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3</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7"/>
          <w:rPr>
            <w:rFonts w:ascii="Times New Roman" w:hAnsi="Times New Roman" w:cs="Times New Roman" w:eastAsiaTheme="majorEastAsia"/>
            <w:sz w:val="16"/>
            <w:szCs w:val="16"/>
          </w:rPr>
        </w:pPr>
        <w:r>
          <w:rPr>
            <w:rFonts w:ascii="Times New Roman" w:hAnsi="Times New Roman" w:cs="Times New Roman" w:eastAsiaTheme="majorEastAsia"/>
            <w:sz w:val="16"/>
            <w:szCs w:val="16"/>
          </w:rPr>
          <w:t>EC/jv</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7D5"/>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6ED8"/>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0AB"/>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3C78"/>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35B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E71EC"/>
    <w:rsid w:val="005F15A1"/>
    <w:rsid w:val="005F1634"/>
    <w:rsid w:val="005F2A5C"/>
    <w:rsid w:val="005F41E9"/>
    <w:rsid w:val="00602225"/>
    <w:rsid w:val="006052D7"/>
    <w:rsid w:val="006064B6"/>
    <w:rsid w:val="00606D5F"/>
    <w:rsid w:val="00610227"/>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10A5"/>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3D7F"/>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4208"/>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5D63"/>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1DC2"/>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233D"/>
    <w:rsid w:val="00EC3D31"/>
    <w:rsid w:val="00EC4792"/>
    <w:rsid w:val="00EC61FC"/>
    <w:rsid w:val="00EC6C6B"/>
    <w:rsid w:val="00ED19BC"/>
    <w:rsid w:val="00ED267B"/>
    <w:rsid w:val="00ED5697"/>
    <w:rsid w:val="00EE10E3"/>
    <w:rsid w:val="00EE1EE0"/>
    <w:rsid w:val="00EE6352"/>
    <w:rsid w:val="00EF286F"/>
    <w:rsid w:val="00F024BE"/>
    <w:rsid w:val="00F02C67"/>
    <w:rsid w:val="00F02D7E"/>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3B"/>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10CF354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paragraph" w:styleId="2">
    <w:name w:val="heading 3"/>
    <w:basedOn w:val="1"/>
    <w:next w:val="1"/>
    <w:link w:val="2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qFormat/>
    <w:uiPriority w:val="99"/>
    <w:rPr>
      <w:b/>
      <w:bCs/>
    </w:rPr>
  </w:style>
  <w:style w:type="paragraph" w:styleId="4">
    <w:name w:val="annotation text"/>
    <w:basedOn w:val="1"/>
    <w:link w:val="19"/>
    <w:semiHidden/>
    <w:unhideWhenUsed/>
    <w:qFormat/>
    <w:uiPriority w:val="99"/>
    <w:pPr>
      <w:spacing w:line="240" w:lineRule="auto"/>
    </w:pPr>
    <w:rPr>
      <w:sz w:val="20"/>
      <w:szCs w:val="20"/>
    </w:rPr>
  </w:style>
  <w:style w:type="paragraph" w:styleId="5">
    <w:name w:val="Balloon Text"/>
    <w:basedOn w:val="1"/>
    <w:link w:val="21"/>
    <w:semiHidden/>
    <w:unhideWhenUsed/>
    <w:uiPriority w:val="99"/>
    <w:pPr>
      <w:spacing w:after="0" w:line="240" w:lineRule="auto"/>
    </w:pPr>
    <w:rPr>
      <w:rFonts w:ascii="Tahoma" w:hAnsi="Tahoma" w:cs="Tahoma"/>
      <w:sz w:val="16"/>
      <w:szCs w:val="16"/>
    </w:rPr>
  </w:style>
  <w:style w:type="paragraph" w:styleId="6">
    <w:name w:val="header"/>
    <w:basedOn w:val="1"/>
    <w:link w:val="13"/>
    <w:unhideWhenUsed/>
    <w:uiPriority w:val="99"/>
    <w:pPr>
      <w:tabs>
        <w:tab w:val="center" w:pos="4419"/>
        <w:tab w:val="right" w:pos="8838"/>
      </w:tabs>
      <w:spacing w:after="0" w:line="240" w:lineRule="auto"/>
    </w:pPr>
  </w:style>
  <w:style w:type="paragraph" w:styleId="7">
    <w:name w:val="footer"/>
    <w:basedOn w:val="1"/>
    <w:link w:val="14"/>
    <w:unhideWhenUsed/>
    <w:uiPriority w:val="99"/>
    <w:pPr>
      <w:tabs>
        <w:tab w:val="center" w:pos="4419"/>
        <w:tab w:val="right" w:pos="8838"/>
      </w:tabs>
      <w:spacing w:after="0" w:line="240" w:lineRule="auto"/>
    </w:pPr>
  </w:style>
  <w:style w:type="paragraph" w:styleId="8">
    <w:name w:val="Body Text"/>
    <w:basedOn w:val="1"/>
    <w:link w:val="17"/>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10">
    <w:name w:val="annotation reference"/>
    <w:basedOn w:val="9"/>
    <w:semiHidden/>
    <w:unhideWhenUsed/>
    <w:uiPriority w:val="99"/>
    <w:rPr>
      <w:sz w:val="16"/>
      <w:szCs w:val="16"/>
    </w:rPr>
  </w:style>
  <w:style w:type="table" w:styleId="12">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Encabezado Car"/>
    <w:basedOn w:val="9"/>
    <w:link w:val="6"/>
    <w:uiPriority w:val="99"/>
  </w:style>
  <w:style w:type="character" w:customStyle="1" w:styleId="14">
    <w:name w:val="Pie de página Car"/>
    <w:basedOn w:val="9"/>
    <w:link w:val="7"/>
    <w:uiPriority w:val="99"/>
  </w:style>
  <w:style w:type="paragraph" w:customStyle="1" w:styleId="15">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6">
    <w:name w:val="Texto independiente Car"/>
    <w:basedOn w:val="9"/>
    <w:semiHidden/>
    <w:uiPriority w:val="99"/>
  </w:style>
  <w:style w:type="character" w:customStyle="1" w:styleId="17">
    <w:name w:val="Texto independiente Car1"/>
    <w:basedOn w:val="9"/>
    <w:link w:val="8"/>
    <w:locked/>
    <w:uiPriority w:val="99"/>
    <w:rPr>
      <w:rFonts w:ascii="Times New Roman" w:hAnsi="Times New Roman" w:eastAsia="Times New Roman" w:cs="Times New Roman"/>
      <w:spacing w:val="-3"/>
      <w:szCs w:val="20"/>
      <w:lang w:eastAsia="es-ES"/>
    </w:rPr>
  </w:style>
  <w:style w:type="paragraph" w:styleId="18">
    <w:name w:val="List Paragraph"/>
    <w:basedOn w:val="1"/>
    <w:qFormat/>
    <w:uiPriority w:val="99"/>
    <w:pPr>
      <w:ind w:left="720"/>
      <w:contextualSpacing/>
    </w:pPr>
  </w:style>
  <w:style w:type="character" w:customStyle="1" w:styleId="19">
    <w:name w:val="Texto comentario Car"/>
    <w:basedOn w:val="9"/>
    <w:link w:val="4"/>
    <w:semiHidden/>
    <w:qFormat/>
    <w:uiPriority w:val="99"/>
    <w:rPr>
      <w:sz w:val="20"/>
      <w:szCs w:val="20"/>
    </w:rPr>
  </w:style>
  <w:style w:type="character" w:customStyle="1" w:styleId="20">
    <w:name w:val="Asunto del comentario Car"/>
    <w:basedOn w:val="19"/>
    <w:link w:val="3"/>
    <w:semiHidden/>
    <w:qFormat/>
    <w:uiPriority w:val="99"/>
    <w:rPr>
      <w:b/>
      <w:bCs/>
      <w:sz w:val="20"/>
      <w:szCs w:val="20"/>
    </w:rPr>
  </w:style>
  <w:style w:type="character" w:customStyle="1" w:styleId="21">
    <w:name w:val="Texto de globo Car"/>
    <w:basedOn w:val="9"/>
    <w:link w:val="5"/>
    <w:semiHidden/>
    <w:uiPriority w:val="99"/>
    <w:rPr>
      <w:rFonts w:ascii="Tahoma" w:hAnsi="Tahoma" w:cs="Tahoma"/>
      <w:sz w:val="16"/>
      <w:szCs w:val="16"/>
    </w:rPr>
  </w:style>
  <w:style w:type="paragraph" w:customStyle="1" w:styleId="22">
    <w:name w:val="Revision"/>
    <w:hidden/>
    <w:semiHidden/>
    <w:uiPriority w:val="99"/>
    <w:pPr>
      <w:spacing w:after="0" w:line="240" w:lineRule="auto"/>
    </w:pPr>
    <w:rPr>
      <w:rFonts w:asciiTheme="minorHAnsi" w:hAnsiTheme="minorHAnsi" w:eastAsiaTheme="minorHAnsi" w:cstheme="minorBidi"/>
      <w:sz w:val="22"/>
      <w:szCs w:val="22"/>
      <w:lang w:val="es-PA" w:eastAsia="en-US" w:bidi="ar-SA"/>
    </w:rPr>
  </w:style>
  <w:style w:type="table" w:styleId="23">
    <w:name w:val="Light Shading"/>
    <w:basedOn w:val="11"/>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4">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 w:type="character" w:customStyle="1" w:styleId="25">
    <w:name w:val="Título 3 Car"/>
    <w:basedOn w:val="9"/>
    <w:link w:val="2"/>
    <w:semiHidden/>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DF093-FE11-40E0-B832-6DEB4683E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2714</Words>
  <Characters>14933</Characters>
  <Lines>124</Lines>
  <Paragraphs>35</Paragraphs>
  <TotalTime>46</TotalTime>
  <ScaleCrop>false</ScaleCrop>
  <LinksUpToDate>false</LinksUpToDate>
  <CharactersWithSpaces>17612</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2019-09-11T19:46:00Z</dcterms:created>
  <dc:creator>Jennifer Koruklis</dc:creator>
  <cp:lastModifiedBy>abermudez</cp:lastModifiedBy>
  <cp:lastPrinted>2019-09-12T18:29:00Z</cp:lastPrinted>
  <dcterms:modified xsi:type="dcterms:W3CDTF">2019-09-13T14:26:39Z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3082-11.2.0.8942</vt:lpwstr>
  </property>
</Properties>
</file>