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C6" w:rsidRPr="007D5020" w:rsidRDefault="000479C6" w:rsidP="000479C6">
      <w:pPr>
        <w:outlineLvl w:val="0"/>
        <w:rPr>
          <w:b/>
          <w:lang w:val="es-MX"/>
        </w:rPr>
      </w:pPr>
    </w:p>
    <w:p w:rsidR="000479C6" w:rsidRPr="007D5020" w:rsidRDefault="000479C6" w:rsidP="000479C6">
      <w:pPr>
        <w:jc w:val="center"/>
        <w:outlineLvl w:val="0"/>
        <w:rPr>
          <w:b/>
          <w:lang w:val="es-MX"/>
        </w:rPr>
      </w:pPr>
      <w:r w:rsidRPr="007D5020">
        <w:rPr>
          <w:b/>
          <w:lang w:val="es-MX"/>
        </w:rPr>
        <w:t xml:space="preserve">  MINISTERIO DE AMBIENTE</w:t>
      </w:r>
    </w:p>
    <w:p w:rsidR="000479C6" w:rsidRPr="007D5020" w:rsidRDefault="000479C6" w:rsidP="000479C6">
      <w:pPr>
        <w:jc w:val="center"/>
        <w:rPr>
          <w:rFonts w:eastAsia="MS Mincho"/>
          <w:b/>
          <w:lang w:val="es-MX"/>
        </w:rPr>
      </w:pPr>
      <w:r w:rsidRPr="007D5020">
        <w:rPr>
          <w:rFonts w:eastAsia="MS Mincho"/>
          <w:b/>
          <w:lang w:val="es-MX"/>
        </w:rPr>
        <w:t>DIRECCIÓN REGIONAL DE CHIRIQUÍ</w:t>
      </w:r>
    </w:p>
    <w:p w:rsidR="000479C6" w:rsidRPr="007D5020" w:rsidRDefault="000479C6" w:rsidP="000479C6">
      <w:pPr>
        <w:jc w:val="center"/>
        <w:rPr>
          <w:rFonts w:eastAsia="MS Mincho"/>
          <w:b/>
          <w:lang w:val="es-MX"/>
        </w:rPr>
      </w:pPr>
      <w:r w:rsidRPr="007D5020">
        <w:rPr>
          <w:rFonts w:eastAsia="MS Mincho"/>
          <w:b/>
          <w:lang w:val="es-MX"/>
        </w:rPr>
        <w:t>SECCIÓN DE EVALUACIÓN DE IMPACTO AMBIENTAL</w:t>
      </w:r>
    </w:p>
    <w:p w:rsidR="000479C6" w:rsidRPr="007D5020" w:rsidRDefault="000479C6" w:rsidP="000479C6">
      <w:pPr>
        <w:jc w:val="center"/>
        <w:rPr>
          <w:rFonts w:eastAsia="MS Mincho"/>
          <w:b/>
          <w:lang w:val="es-MX"/>
        </w:rPr>
      </w:pPr>
      <w:r w:rsidRPr="007D5020">
        <w:rPr>
          <w:rFonts w:eastAsia="MS Mincho"/>
          <w:b/>
          <w:lang w:val="es-MX"/>
        </w:rPr>
        <w:t xml:space="preserve">INFORME TÉCNICO DE </w:t>
      </w:r>
      <w:r w:rsidRPr="007D5020">
        <w:rPr>
          <w:rFonts w:eastAsia="MS Mincho"/>
          <w:b/>
        </w:rPr>
        <w:t>EVALUACIÓN</w:t>
      </w:r>
      <w:r w:rsidRPr="007D5020">
        <w:rPr>
          <w:rFonts w:eastAsia="MS Mincho"/>
          <w:b/>
          <w:lang w:val="es-MX"/>
        </w:rPr>
        <w:t xml:space="preserve"> DE ESTUDIO DE IMPACTO AMBIENTAL</w:t>
      </w:r>
    </w:p>
    <w:p w:rsidR="000479C6" w:rsidRPr="007D5020" w:rsidRDefault="000479C6" w:rsidP="000479C6">
      <w:pPr>
        <w:jc w:val="both"/>
        <w:rPr>
          <w:rFonts w:eastAsia="MS Mincho"/>
          <w:b/>
          <w:lang w:val="es-MX"/>
        </w:rPr>
      </w:pPr>
    </w:p>
    <w:p w:rsidR="000479C6" w:rsidRPr="007D5020" w:rsidRDefault="000479C6" w:rsidP="000479C6">
      <w:pPr>
        <w:jc w:val="both"/>
        <w:rPr>
          <w:rFonts w:eastAsia="MS Mincho"/>
          <w:b/>
          <w:lang w:val="es-MX"/>
        </w:rPr>
      </w:pPr>
    </w:p>
    <w:p w:rsidR="000479C6" w:rsidRPr="007D5020" w:rsidRDefault="000479C6" w:rsidP="000479C6">
      <w:pPr>
        <w:jc w:val="both"/>
        <w:rPr>
          <w:rFonts w:eastAsia="MS Mincho"/>
          <w:b/>
          <w:lang w:val="es-MX"/>
        </w:rPr>
      </w:pPr>
    </w:p>
    <w:p w:rsidR="000479C6" w:rsidRPr="007D5020" w:rsidRDefault="000479C6" w:rsidP="000479C6">
      <w:pPr>
        <w:numPr>
          <w:ilvl w:val="0"/>
          <w:numId w:val="1"/>
        </w:numPr>
        <w:tabs>
          <w:tab w:val="left" w:pos="-1890"/>
        </w:tabs>
        <w:autoSpaceDE w:val="0"/>
        <w:autoSpaceDN w:val="0"/>
        <w:adjustRightInd w:val="0"/>
        <w:ind w:left="360"/>
        <w:jc w:val="both"/>
        <w:rPr>
          <w:b/>
          <w:lang w:val="es-MX"/>
        </w:rPr>
      </w:pPr>
      <w:r w:rsidRPr="007D5020">
        <w:rPr>
          <w:b/>
          <w:lang w:val="es-MX"/>
        </w:rPr>
        <w:t>DATOS GENERALES</w:t>
      </w:r>
    </w:p>
    <w:p w:rsidR="000479C6" w:rsidRPr="007D5020" w:rsidRDefault="000479C6" w:rsidP="000479C6">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0479C6" w:rsidRPr="007D5020" w:rsidTr="001C4FA6">
        <w:trPr>
          <w:jc w:val="center"/>
        </w:trPr>
        <w:tc>
          <w:tcPr>
            <w:tcW w:w="3618" w:type="dxa"/>
            <w:shd w:val="clear" w:color="auto" w:fill="auto"/>
          </w:tcPr>
          <w:p w:rsidR="000479C6" w:rsidRPr="007D5020" w:rsidRDefault="000479C6" w:rsidP="001C4FA6">
            <w:pPr>
              <w:ind w:right="162"/>
              <w:jc w:val="both"/>
              <w:rPr>
                <w:b/>
                <w:lang w:val="es-MX"/>
              </w:rPr>
            </w:pPr>
            <w:r w:rsidRPr="007D5020">
              <w:rPr>
                <w:b/>
                <w:lang w:val="es-MX"/>
              </w:rPr>
              <w:t>FECHA:</w:t>
            </w:r>
          </w:p>
        </w:tc>
        <w:tc>
          <w:tcPr>
            <w:tcW w:w="5400" w:type="dxa"/>
            <w:shd w:val="clear" w:color="auto" w:fill="auto"/>
          </w:tcPr>
          <w:p w:rsidR="000479C6" w:rsidRPr="007D5020" w:rsidRDefault="000479C6" w:rsidP="001C4FA6">
            <w:pPr>
              <w:jc w:val="both"/>
              <w:rPr>
                <w:b/>
                <w:lang w:val="es-MX"/>
              </w:rPr>
            </w:pPr>
            <w:r>
              <w:rPr>
                <w:color w:val="000000"/>
                <w:spacing w:val="-3"/>
              </w:rPr>
              <w:t>13</w:t>
            </w:r>
            <w:r w:rsidRPr="007D5020">
              <w:rPr>
                <w:color w:val="000000"/>
                <w:spacing w:val="-3"/>
              </w:rPr>
              <w:t xml:space="preserve"> DE </w:t>
            </w:r>
            <w:r>
              <w:rPr>
                <w:color w:val="000000"/>
                <w:spacing w:val="-3"/>
                <w:lang w:val="es-PA"/>
              </w:rPr>
              <w:t>SEPTIEMBRE</w:t>
            </w:r>
            <w:r w:rsidRPr="007D5020">
              <w:rPr>
                <w:color w:val="000000"/>
                <w:spacing w:val="-3"/>
              </w:rPr>
              <w:t xml:space="preserve"> DE 2019</w:t>
            </w:r>
          </w:p>
        </w:tc>
      </w:tr>
      <w:tr w:rsidR="000479C6" w:rsidRPr="007D5020" w:rsidTr="001C4FA6">
        <w:trPr>
          <w:trHeight w:val="371"/>
          <w:jc w:val="center"/>
        </w:trPr>
        <w:tc>
          <w:tcPr>
            <w:tcW w:w="3618" w:type="dxa"/>
            <w:shd w:val="clear" w:color="auto" w:fill="auto"/>
          </w:tcPr>
          <w:p w:rsidR="000479C6" w:rsidRPr="007D5020" w:rsidRDefault="000479C6" w:rsidP="001C4FA6">
            <w:pPr>
              <w:jc w:val="both"/>
              <w:rPr>
                <w:b/>
                <w:lang w:val="es-MX"/>
              </w:rPr>
            </w:pPr>
            <w:r w:rsidRPr="007D5020">
              <w:rPr>
                <w:b/>
                <w:lang w:val="es-MX"/>
              </w:rPr>
              <w:t>NOMBRE DEL PROYECTO:</w:t>
            </w:r>
          </w:p>
        </w:tc>
        <w:tc>
          <w:tcPr>
            <w:tcW w:w="5400" w:type="dxa"/>
            <w:shd w:val="clear" w:color="auto" w:fill="auto"/>
          </w:tcPr>
          <w:p w:rsidR="000479C6" w:rsidRDefault="000479C6" w:rsidP="000479C6">
            <w:pPr>
              <w:jc w:val="both"/>
            </w:pPr>
            <w:r>
              <w:t>EXTRACCIÓN DE MINERAL NO METÁLICO</w:t>
            </w:r>
          </w:p>
          <w:p w:rsidR="000479C6" w:rsidRPr="007D5020" w:rsidRDefault="000479C6" w:rsidP="000479C6">
            <w:pPr>
              <w:jc w:val="both"/>
            </w:pPr>
            <w:r>
              <w:t>GRAVA CONTINENTAL BAJOS DE CHIRIQUÍ</w:t>
            </w:r>
          </w:p>
        </w:tc>
      </w:tr>
      <w:tr w:rsidR="000479C6" w:rsidRPr="007D5020" w:rsidTr="001C4FA6">
        <w:trPr>
          <w:trHeight w:val="305"/>
          <w:jc w:val="center"/>
        </w:trPr>
        <w:tc>
          <w:tcPr>
            <w:tcW w:w="3618" w:type="dxa"/>
            <w:shd w:val="clear" w:color="auto" w:fill="auto"/>
          </w:tcPr>
          <w:p w:rsidR="000479C6" w:rsidRPr="007D5020" w:rsidRDefault="000479C6" w:rsidP="001C4FA6">
            <w:pPr>
              <w:jc w:val="both"/>
              <w:rPr>
                <w:lang w:val="es-MX"/>
              </w:rPr>
            </w:pPr>
            <w:r w:rsidRPr="007D5020">
              <w:rPr>
                <w:b/>
              </w:rPr>
              <w:t>PROMOTOR:</w:t>
            </w:r>
            <w:r w:rsidRPr="007D5020">
              <w:t xml:space="preserve">                              </w:t>
            </w:r>
          </w:p>
        </w:tc>
        <w:tc>
          <w:tcPr>
            <w:tcW w:w="5400" w:type="dxa"/>
            <w:shd w:val="clear" w:color="auto" w:fill="auto"/>
          </w:tcPr>
          <w:p w:rsidR="000479C6" w:rsidRPr="007D5020" w:rsidRDefault="000479C6" w:rsidP="001C4FA6">
            <w:pPr>
              <w:jc w:val="both"/>
              <w:rPr>
                <w:color w:val="000000"/>
                <w:spacing w:val="-3"/>
                <w:lang w:val="es-PA"/>
              </w:rPr>
            </w:pPr>
            <w:r w:rsidRPr="000479C6">
              <w:rPr>
                <w:spacing w:val="-3"/>
                <w:lang w:val="es-PA"/>
              </w:rPr>
              <w:t>ININCO, S.A.</w:t>
            </w:r>
          </w:p>
        </w:tc>
      </w:tr>
      <w:tr w:rsidR="000479C6" w:rsidRPr="007D5020" w:rsidTr="001C4FA6">
        <w:trPr>
          <w:jc w:val="center"/>
        </w:trPr>
        <w:tc>
          <w:tcPr>
            <w:tcW w:w="3618" w:type="dxa"/>
            <w:shd w:val="clear" w:color="auto" w:fill="auto"/>
          </w:tcPr>
          <w:p w:rsidR="000479C6" w:rsidRPr="007D5020" w:rsidRDefault="000479C6" w:rsidP="001C4FA6">
            <w:pPr>
              <w:jc w:val="both"/>
              <w:rPr>
                <w:b/>
              </w:rPr>
            </w:pPr>
            <w:r w:rsidRPr="007D5020">
              <w:rPr>
                <w:b/>
              </w:rPr>
              <w:t>REPRESENTANTE LEGAL:</w:t>
            </w:r>
          </w:p>
        </w:tc>
        <w:tc>
          <w:tcPr>
            <w:tcW w:w="5400" w:type="dxa"/>
            <w:shd w:val="clear" w:color="auto" w:fill="auto"/>
          </w:tcPr>
          <w:p w:rsidR="000479C6" w:rsidRPr="007D5020" w:rsidRDefault="000479C6" w:rsidP="001C4FA6">
            <w:pPr>
              <w:jc w:val="both"/>
            </w:pPr>
            <w:r w:rsidRPr="000479C6">
              <w:t>RODRIGO DE LA CRUZ</w:t>
            </w:r>
          </w:p>
        </w:tc>
      </w:tr>
      <w:tr w:rsidR="000479C6" w:rsidRPr="007D5020" w:rsidTr="001C4FA6">
        <w:trPr>
          <w:jc w:val="center"/>
        </w:trPr>
        <w:tc>
          <w:tcPr>
            <w:tcW w:w="3618" w:type="dxa"/>
            <w:shd w:val="clear" w:color="auto" w:fill="auto"/>
          </w:tcPr>
          <w:p w:rsidR="000479C6" w:rsidRPr="007D5020" w:rsidRDefault="000479C6" w:rsidP="001C4FA6">
            <w:pPr>
              <w:jc w:val="both"/>
              <w:rPr>
                <w:b/>
              </w:rPr>
            </w:pPr>
            <w:r w:rsidRPr="007D5020">
              <w:rPr>
                <w:b/>
              </w:rPr>
              <w:t>UBICACIÓN:</w:t>
            </w:r>
          </w:p>
        </w:tc>
        <w:tc>
          <w:tcPr>
            <w:tcW w:w="5400" w:type="dxa"/>
            <w:shd w:val="clear" w:color="auto" w:fill="auto"/>
          </w:tcPr>
          <w:p w:rsidR="000479C6" w:rsidRPr="007D5020" w:rsidRDefault="000479C6" w:rsidP="001C4FA6">
            <w:pPr>
              <w:jc w:val="both"/>
              <w:rPr>
                <w:rFonts w:eastAsia="MS Mincho"/>
                <w:lang w:val="es-MX"/>
              </w:rPr>
            </w:pPr>
            <w:r>
              <w:rPr>
                <w:spacing w:val="-3"/>
              </w:rPr>
              <w:t>CORREGIMIENTO DE CAÑAS GORDAS, DISTRITO DE RENACIMIENTO</w:t>
            </w:r>
            <w:r w:rsidRPr="007D5020">
              <w:rPr>
                <w:spacing w:val="-3"/>
              </w:rPr>
              <w:t>, PROVINCIA DE CHIRIQUÍ</w:t>
            </w:r>
          </w:p>
        </w:tc>
      </w:tr>
    </w:tbl>
    <w:p w:rsidR="000479C6" w:rsidRPr="007D5020" w:rsidRDefault="000479C6" w:rsidP="000479C6">
      <w:pPr>
        <w:tabs>
          <w:tab w:val="left" w:pos="-1890"/>
        </w:tabs>
        <w:autoSpaceDE w:val="0"/>
        <w:autoSpaceDN w:val="0"/>
        <w:adjustRightInd w:val="0"/>
        <w:jc w:val="both"/>
        <w:rPr>
          <w:b/>
        </w:rPr>
      </w:pPr>
    </w:p>
    <w:p w:rsidR="000479C6" w:rsidRPr="007D5020" w:rsidRDefault="000479C6" w:rsidP="000479C6">
      <w:pPr>
        <w:tabs>
          <w:tab w:val="left" w:pos="-1890"/>
        </w:tabs>
        <w:autoSpaceDE w:val="0"/>
        <w:autoSpaceDN w:val="0"/>
        <w:adjustRightInd w:val="0"/>
        <w:jc w:val="both"/>
        <w:rPr>
          <w:b/>
        </w:rPr>
      </w:pPr>
    </w:p>
    <w:p w:rsidR="000479C6" w:rsidRPr="007D5020" w:rsidRDefault="000479C6" w:rsidP="000479C6">
      <w:pPr>
        <w:numPr>
          <w:ilvl w:val="0"/>
          <w:numId w:val="1"/>
        </w:numPr>
        <w:tabs>
          <w:tab w:val="left" w:pos="-1890"/>
        </w:tabs>
        <w:autoSpaceDE w:val="0"/>
        <w:autoSpaceDN w:val="0"/>
        <w:adjustRightInd w:val="0"/>
        <w:ind w:left="360"/>
        <w:jc w:val="both"/>
        <w:rPr>
          <w:b/>
        </w:rPr>
      </w:pPr>
      <w:r w:rsidRPr="007D5020">
        <w:rPr>
          <w:b/>
        </w:rPr>
        <w:t>ANTECEDENTES</w:t>
      </w:r>
    </w:p>
    <w:p w:rsidR="000479C6" w:rsidRPr="007D5020" w:rsidRDefault="000479C6" w:rsidP="000479C6">
      <w:pPr>
        <w:tabs>
          <w:tab w:val="left" w:pos="-1890"/>
        </w:tabs>
        <w:autoSpaceDE w:val="0"/>
        <w:autoSpaceDN w:val="0"/>
        <w:adjustRightInd w:val="0"/>
        <w:ind w:left="360"/>
        <w:jc w:val="both"/>
        <w:rPr>
          <w:b/>
          <w:highlight w:val="yellow"/>
        </w:rPr>
      </w:pPr>
    </w:p>
    <w:p w:rsidR="000479C6" w:rsidRPr="000479C6" w:rsidRDefault="000479C6" w:rsidP="000479C6">
      <w:pPr>
        <w:jc w:val="both"/>
        <w:rPr>
          <w:b/>
        </w:rPr>
      </w:pPr>
      <w:r w:rsidRPr="007D5020">
        <w:t xml:space="preserve">En cumplimiento de lo dispuesto en el artículo 20 de la Ley No. 8 de 25 de marzo de 2015, el día </w:t>
      </w:r>
      <w:r w:rsidRPr="007D5020">
        <w:rPr>
          <w:lang w:val="es-PA"/>
        </w:rPr>
        <w:t>2</w:t>
      </w:r>
      <w:r>
        <w:rPr>
          <w:lang w:val="es-PA"/>
        </w:rPr>
        <w:t>0</w:t>
      </w:r>
      <w:r w:rsidRPr="007D5020">
        <w:t xml:space="preserve"> de </w:t>
      </w:r>
      <w:r w:rsidRPr="007D5020">
        <w:rPr>
          <w:lang w:val="es-PA"/>
        </w:rPr>
        <w:t>agosto</w:t>
      </w:r>
      <w:r w:rsidRPr="007D5020">
        <w:t xml:space="preserve"> de 2019, la empresa </w:t>
      </w:r>
      <w:r w:rsidRPr="000479C6">
        <w:rPr>
          <w:b/>
          <w:lang w:val="es-PA"/>
        </w:rPr>
        <w:t>ININCO, S.A.</w:t>
      </w:r>
      <w:r w:rsidRPr="007D5020">
        <w:t xml:space="preserve">, a través de su representante legal, el señor </w:t>
      </w:r>
      <w:r w:rsidRPr="000479C6">
        <w:rPr>
          <w:b/>
        </w:rPr>
        <w:t>RODRIGO DE LA CRUZ</w:t>
      </w:r>
      <w:r w:rsidRPr="007D5020">
        <w:rPr>
          <w:rFonts w:eastAsia="SimSun"/>
          <w:bCs/>
        </w:rPr>
        <w:t xml:space="preserve">, con identidad personal número </w:t>
      </w:r>
      <w:r w:rsidRPr="000479C6">
        <w:rPr>
          <w:rFonts w:eastAsia="SimSun"/>
          <w:b/>
          <w:bCs/>
          <w:lang w:val="es-PA"/>
        </w:rPr>
        <w:t>8-102-802</w:t>
      </w:r>
      <w:r w:rsidRPr="007D5020">
        <w:rPr>
          <w:b/>
          <w:color w:val="000000"/>
        </w:rPr>
        <w:t xml:space="preserve">, </w:t>
      </w:r>
      <w:r w:rsidRPr="007D5020">
        <w:t>presentó ante el Ministerio de Ambiente (MiAMBIENTE) un Estudio de Impacto Ambiental (EsIA), Categoría I, denominado “</w:t>
      </w:r>
      <w:r w:rsidRPr="000479C6">
        <w:rPr>
          <w:b/>
        </w:rPr>
        <w:t>EX</w:t>
      </w:r>
      <w:r>
        <w:rPr>
          <w:b/>
        </w:rPr>
        <w:t xml:space="preserve">TRACCIÓN DE MINERAL NO METÁLICO </w:t>
      </w:r>
      <w:r w:rsidRPr="000479C6">
        <w:rPr>
          <w:b/>
        </w:rPr>
        <w:t>GRAVA CONTINENTAL BAJOS DE CHIRIQUÍ</w:t>
      </w:r>
      <w:r w:rsidRPr="007D5020">
        <w:t>”, elaborado bajo la re</w:t>
      </w:r>
      <w:r>
        <w:t>sponsabilidad de los consultores</w:t>
      </w:r>
      <w:r w:rsidRPr="007D5020">
        <w:rPr>
          <w:b/>
        </w:rPr>
        <w:t xml:space="preserve"> </w:t>
      </w:r>
      <w:r w:rsidRPr="000479C6">
        <w:rPr>
          <w:b/>
        </w:rPr>
        <w:t>CINTYA SÁNCHEZ/ GILBERTO SAMANIEGO</w:t>
      </w:r>
      <w:r>
        <w:rPr>
          <w:b/>
        </w:rPr>
        <w:t>,</w:t>
      </w:r>
      <w:r w:rsidRPr="000479C6">
        <w:rPr>
          <w:b/>
        </w:rPr>
        <w:t xml:space="preserve"> </w:t>
      </w:r>
      <w:r w:rsidRPr="007D5020">
        <w:t>persona jurídica inscritas en el Registro de  Consultores Idóneos que  lleva el Ministerio de Ambiente (MiAMBIENTE), mediante las Resoluciones</w:t>
      </w:r>
      <w:r w:rsidRPr="007D5020">
        <w:rPr>
          <w:color w:val="000000"/>
          <w:lang w:val="es-PA" w:eastAsia="es-PA"/>
        </w:rPr>
        <w:t xml:space="preserve"> </w:t>
      </w:r>
      <w:r w:rsidR="00DA48FB" w:rsidRPr="00DA48FB">
        <w:rPr>
          <w:b/>
          <w:color w:val="000000"/>
          <w:lang w:eastAsia="es-PA"/>
        </w:rPr>
        <w:t>IAR-074-98 e ARC-073-08</w:t>
      </w:r>
      <w:r w:rsidRPr="007D5020">
        <w:rPr>
          <w:color w:val="000000"/>
          <w:lang w:val="es-PA" w:eastAsia="es-PA"/>
        </w:rPr>
        <w:t xml:space="preserve">, </w:t>
      </w:r>
      <w:r w:rsidRPr="007D5020">
        <w:t>respectivamente.</w:t>
      </w:r>
    </w:p>
    <w:p w:rsidR="000479C6" w:rsidRPr="007D5020" w:rsidRDefault="000479C6" w:rsidP="000479C6">
      <w:pPr>
        <w:autoSpaceDE w:val="0"/>
        <w:autoSpaceDN w:val="0"/>
        <w:adjustRightInd w:val="0"/>
        <w:jc w:val="both"/>
        <w:rPr>
          <w:bCs/>
        </w:rPr>
      </w:pPr>
    </w:p>
    <w:p w:rsidR="00DA48FB" w:rsidRDefault="000479C6" w:rsidP="000479C6">
      <w:pPr>
        <w:autoSpaceDE w:val="0"/>
        <w:autoSpaceDN w:val="0"/>
        <w:adjustRightInd w:val="0"/>
        <w:jc w:val="both"/>
      </w:pPr>
      <w:r w:rsidRPr="007D5020">
        <w:rPr>
          <w:bCs/>
        </w:rPr>
        <w:t>De acuerdo al EsIA, el proyecto en evaluación titulado</w:t>
      </w:r>
      <w:r w:rsidRPr="007D5020">
        <w:rPr>
          <w:b/>
          <w:bCs/>
        </w:rPr>
        <w:t xml:space="preserve"> “</w:t>
      </w:r>
      <w:r w:rsidR="00DA48FB" w:rsidRPr="00DA48FB">
        <w:rPr>
          <w:b/>
          <w:bCs/>
        </w:rPr>
        <w:t>EXTRACCIÓN DE MINERAL NO METÁLICO GRAVA CONTINENTAL BAJOS DE CHIRIQUÍ</w:t>
      </w:r>
      <w:r w:rsidRPr="007D5020">
        <w:rPr>
          <w:b/>
        </w:rPr>
        <w:t>”</w:t>
      </w:r>
      <w:r w:rsidRPr="007D5020">
        <w:rPr>
          <w:b/>
          <w:bCs/>
        </w:rPr>
        <w:t>,</w:t>
      </w:r>
      <w:r w:rsidRPr="007D5020">
        <w:rPr>
          <w:bCs/>
        </w:rPr>
        <w:t xml:space="preserve"> </w:t>
      </w:r>
      <w:r w:rsidRPr="007D5020">
        <w:t xml:space="preserve">consiste </w:t>
      </w:r>
      <w:r w:rsidR="00DA48FB">
        <w:t>en extraer 30,000 m</w:t>
      </w:r>
      <w:r w:rsidR="00DA48FB" w:rsidRPr="00DA48FB">
        <w:rPr>
          <w:vertAlign w:val="superscript"/>
        </w:rPr>
        <w:t>3</w:t>
      </w:r>
      <w:r w:rsidR="00DA48FB">
        <w:t xml:space="preserve"> aproximadamente de material pétreo en área continental el cual será procesado para obtener las dimensiones requeridas para preparar capa base y sub-base, el producto resultante será usado en la rehabilitación del camino de la comunidad de Bajo de Chiriquí, vía incluida dentro de la obra promovida por el Ministerio de Obras Públicas, denominada “Rehabilitación de la Carretera San Andrés- Santa Cruz Dominical -</w:t>
      </w:r>
      <w:proofErr w:type="spellStart"/>
      <w:r w:rsidR="00DA48FB">
        <w:t>Caisán</w:t>
      </w:r>
      <w:proofErr w:type="spellEnd"/>
      <w:r w:rsidR="00DA48FB">
        <w:t>- Monte Lirio y Circunvalación, provincia de Chiriquí”.</w:t>
      </w:r>
    </w:p>
    <w:p w:rsidR="00DA48FB" w:rsidRDefault="00DA48FB" w:rsidP="000479C6">
      <w:pPr>
        <w:autoSpaceDE w:val="0"/>
        <w:autoSpaceDN w:val="0"/>
        <w:adjustRightInd w:val="0"/>
        <w:jc w:val="both"/>
        <w:rPr>
          <w:lang w:val="es-PA"/>
        </w:rPr>
      </w:pPr>
    </w:p>
    <w:p w:rsidR="000479C6" w:rsidRPr="007D5020" w:rsidRDefault="000479C6" w:rsidP="00DA48FB">
      <w:pPr>
        <w:autoSpaceDE w:val="0"/>
        <w:autoSpaceDN w:val="0"/>
        <w:adjustRightInd w:val="0"/>
        <w:jc w:val="both"/>
        <w:rPr>
          <w:lang w:val="es-PA"/>
        </w:rPr>
      </w:pPr>
      <w:r w:rsidRPr="007D5020">
        <w:rPr>
          <w:lang w:val="es-PA"/>
        </w:rPr>
        <w:t>Este proyecto estará ubicado</w:t>
      </w:r>
      <w:r w:rsidR="00DA48FB">
        <w:rPr>
          <w:lang w:val="es-PA"/>
        </w:rPr>
        <w:t xml:space="preserve"> en el corregimiento de Cañas Gordas, distrito de Renacimiento</w:t>
      </w:r>
      <w:r w:rsidRPr="007D5020">
        <w:rPr>
          <w:lang w:val="es-PA"/>
        </w:rPr>
        <w:t xml:space="preserve">, provincia de Chiriquí, en </w:t>
      </w:r>
      <w:r w:rsidR="00DA48FB">
        <w:rPr>
          <w:lang w:val="es-PA"/>
        </w:rPr>
        <w:t xml:space="preserve">Folio Real Nº 32620, </w:t>
      </w:r>
      <w:r w:rsidR="00DA48FB" w:rsidRPr="00DA48FB">
        <w:rPr>
          <w:lang w:val="es-PA"/>
        </w:rPr>
        <w:t>Código de ubicación 4C06</w:t>
      </w:r>
      <w:r w:rsidRPr="007D5020">
        <w:rPr>
          <w:lang w:val="es-PA"/>
        </w:rPr>
        <w:t>, que cuenta con</w:t>
      </w:r>
      <w:r w:rsidR="00DA48FB">
        <w:rPr>
          <w:lang w:val="es-PA"/>
        </w:rPr>
        <w:t xml:space="preserve"> una superficie de terreno de 26</w:t>
      </w:r>
      <w:r w:rsidRPr="007D5020">
        <w:rPr>
          <w:lang w:val="es-PA"/>
        </w:rPr>
        <w:t xml:space="preserve"> ha</w:t>
      </w:r>
      <w:r w:rsidR="00DA48FB">
        <w:rPr>
          <w:lang w:val="es-PA"/>
        </w:rPr>
        <w:t xml:space="preserve"> + 8734</w:t>
      </w:r>
      <w:r w:rsidRPr="007D5020">
        <w:rPr>
          <w:lang w:val="es-PA"/>
        </w:rPr>
        <w:t xml:space="preserve"> m</w:t>
      </w:r>
      <w:r w:rsidRPr="007D5020">
        <w:rPr>
          <w:vertAlign w:val="superscript"/>
          <w:lang w:val="es-PA"/>
        </w:rPr>
        <w:t>2</w:t>
      </w:r>
      <w:r w:rsidR="00DA48FB">
        <w:rPr>
          <w:vertAlign w:val="superscript"/>
          <w:lang w:val="es-PA"/>
        </w:rPr>
        <w:t xml:space="preserve"> </w:t>
      </w:r>
      <w:r w:rsidR="00DA48FB">
        <w:rPr>
          <w:lang w:val="es-PA"/>
        </w:rPr>
        <w:t>+ 99 dm</w:t>
      </w:r>
      <w:r w:rsidR="00DA48FB" w:rsidRPr="00DA48FB">
        <w:rPr>
          <w:vertAlign w:val="superscript"/>
          <w:lang w:val="es-PA"/>
        </w:rPr>
        <w:t>2</w:t>
      </w:r>
      <w:r w:rsidR="004D2220">
        <w:rPr>
          <w:lang w:val="es-PA"/>
        </w:rPr>
        <w:t>, donde se utilizaran 1</w:t>
      </w:r>
      <w:r>
        <w:rPr>
          <w:lang w:val="es-PA"/>
        </w:rPr>
        <w:t xml:space="preserve"> ha</w:t>
      </w:r>
      <w:r w:rsidRPr="007D5020">
        <w:rPr>
          <w:lang w:val="es-PA"/>
        </w:rPr>
        <w:t>.</w:t>
      </w:r>
      <w:r w:rsidRPr="007D5020">
        <w:t xml:space="preserve"> </w:t>
      </w:r>
      <w:r w:rsidRPr="007D5020">
        <w:rPr>
          <w:lang w:val="es-PA"/>
        </w:rPr>
        <w:t xml:space="preserve">El monto total de la inversión se estima en </w:t>
      </w:r>
      <w:r w:rsidR="004D2220" w:rsidRPr="004D2220">
        <w:rPr>
          <w:lang w:val="es-PA"/>
        </w:rPr>
        <w:t>B/. 150,000.00 (Ciento Cincuenta mil Balboas 00/100).</w:t>
      </w:r>
    </w:p>
    <w:p w:rsidR="000479C6" w:rsidRPr="007D5020" w:rsidRDefault="000479C6" w:rsidP="000479C6">
      <w:pPr>
        <w:jc w:val="both"/>
        <w:rPr>
          <w:lang w:val="es-PA" w:eastAsia="es-PA"/>
        </w:rPr>
      </w:pPr>
    </w:p>
    <w:p w:rsidR="000479C6" w:rsidRPr="007D5020" w:rsidRDefault="000479C6" w:rsidP="000479C6">
      <w:pPr>
        <w:jc w:val="both"/>
        <w:outlineLvl w:val="1"/>
        <w:rPr>
          <w:spacing w:val="-3"/>
        </w:rPr>
      </w:pPr>
      <w:r w:rsidRPr="007D5020">
        <w:rPr>
          <w:spacing w:val="-3"/>
        </w:rPr>
        <w:t xml:space="preserve">De acuerdo al EsIA, el proyecto se construirá en las coordenadas UTM (DATUM WGS-84) ubicadas en los siguientes puntos: </w:t>
      </w:r>
    </w:p>
    <w:p w:rsidR="000479C6" w:rsidRPr="007D5020" w:rsidRDefault="000479C6" w:rsidP="000479C6">
      <w:pPr>
        <w:jc w:val="both"/>
        <w:rPr>
          <w:spacing w:val="-3"/>
        </w:rPr>
      </w:pPr>
    </w:p>
    <w:tbl>
      <w:tblPr>
        <w:tblStyle w:val="Tablaconcuadrcula"/>
        <w:tblW w:w="0" w:type="auto"/>
        <w:tblInd w:w="2504" w:type="dxa"/>
        <w:tblLook w:val="04A0" w:firstRow="1" w:lastRow="0" w:firstColumn="1" w:lastColumn="0" w:noHBand="0" w:noVBand="1"/>
      </w:tblPr>
      <w:tblGrid>
        <w:gridCol w:w="1214"/>
        <w:gridCol w:w="1621"/>
        <w:gridCol w:w="1559"/>
      </w:tblGrid>
      <w:tr w:rsidR="004D2220" w:rsidTr="004D2220">
        <w:tc>
          <w:tcPr>
            <w:tcW w:w="1214" w:type="dxa"/>
          </w:tcPr>
          <w:p w:rsidR="004D2220" w:rsidRPr="004D2220" w:rsidRDefault="004D2220" w:rsidP="004D2220">
            <w:pPr>
              <w:jc w:val="both"/>
              <w:rPr>
                <w:b/>
                <w:spacing w:val="-3"/>
              </w:rPr>
            </w:pPr>
            <w:r w:rsidRPr="004D2220">
              <w:rPr>
                <w:b/>
                <w:spacing w:val="-3"/>
              </w:rPr>
              <w:t xml:space="preserve">Punto </w:t>
            </w:r>
          </w:p>
        </w:tc>
        <w:tc>
          <w:tcPr>
            <w:tcW w:w="1621" w:type="dxa"/>
          </w:tcPr>
          <w:p w:rsidR="004D2220" w:rsidRPr="004D2220" w:rsidRDefault="004D2220" w:rsidP="004D2220">
            <w:pPr>
              <w:jc w:val="both"/>
              <w:rPr>
                <w:b/>
                <w:spacing w:val="-3"/>
              </w:rPr>
            </w:pPr>
            <w:r w:rsidRPr="004D2220">
              <w:rPr>
                <w:b/>
                <w:spacing w:val="-3"/>
              </w:rPr>
              <w:t>Este</w:t>
            </w:r>
          </w:p>
        </w:tc>
        <w:tc>
          <w:tcPr>
            <w:tcW w:w="1559" w:type="dxa"/>
          </w:tcPr>
          <w:p w:rsidR="004D2220" w:rsidRPr="004D2220" w:rsidRDefault="004D2220" w:rsidP="004D2220">
            <w:pPr>
              <w:jc w:val="both"/>
              <w:rPr>
                <w:b/>
                <w:spacing w:val="-3"/>
              </w:rPr>
            </w:pPr>
            <w:r w:rsidRPr="004D2220">
              <w:rPr>
                <w:b/>
                <w:spacing w:val="-3"/>
              </w:rPr>
              <w:t>Norte</w:t>
            </w:r>
          </w:p>
        </w:tc>
      </w:tr>
      <w:tr w:rsidR="004D2220" w:rsidTr="004D2220">
        <w:tc>
          <w:tcPr>
            <w:tcW w:w="1214" w:type="dxa"/>
          </w:tcPr>
          <w:p w:rsidR="004D2220" w:rsidRPr="004D2220" w:rsidRDefault="004D2220" w:rsidP="004D2220">
            <w:pPr>
              <w:jc w:val="both"/>
              <w:rPr>
                <w:b/>
                <w:spacing w:val="-3"/>
              </w:rPr>
            </w:pPr>
            <w:r w:rsidRPr="004D2220">
              <w:rPr>
                <w:b/>
                <w:spacing w:val="-3"/>
              </w:rPr>
              <w:t>1</w:t>
            </w:r>
          </w:p>
        </w:tc>
        <w:tc>
          <w:tcPr>
            <w:tcW w:w="1621" w:type="dxa"/>
          </w:tcPr>
          <w:p w:rsidR="004D2220" w:rsidRDefault="004D2220" w:rsidP="004D2220">
            <w:pPr>
              <w:jc w:val="both"/>
              <w:rPr>
                <w:spacing w:val="-3"/>
              </w:rPr>
            </w:pPr>
            <w:r w:rsidRPr="004D2220">
              <w:rPr>
                <w:spacing w:val="-3"/>
              </w:rPr>
              <w:t>298081.612</w:t>
            </w:r>
          </w:p>
        </w:tc>
        <w:tc>
          <w:tcPr>
            <w:tcW w:w="1559" w:type="dxa"/>
          </w:tcPr>
          <w:p w:rsidR="004D2220" w:rsidRDefault="004D2220" w:rsidP="004D2220">
            <w:pPr>
              <w:jc w:val="both"/>
              <w:rPr>
                <w:spacing w:val="-3"/>
              </w:rPr>
            </w:pPr>
            <w:r w:rsidRPr="004D2220">
              <w:rPr>
                <w:spacing w:val="-3"/>
              </w:rPr>
              <w:t>962164.551</w:t>
            </w:r>
          </w:p>
        </w:tc>
      </w:tr>
      <w:tr w:rsidR="004D2220" w:rsidTr="004D2220">
        <w:tc>
          <w:tcPr>
            <w:tcW w:w="1214" w:type="dxa"/>
          </w:tcPr>
          <w:p w:rsidR="004D2220" w:rsidRPr="004D2220" w:rsidRDefault="004D2220" w:rsidP="004D2220">
            <w:pPr>
              <w:jc w:val="both"/>
              <w:rPr>
                <w:b/>
                <w:spacing w:val="-3"/>
              </w:rPr>
            </w:pPr>
            <w:r w:rsidRPr="004D2220">
              <w:rPr>
                <w:b/>
                <w:spacing w:val="-3"/>
              </w:rPr>
              <w:t>2</w:t>
            </w:r>
          </w:p>
        </w:tc>
        <w:tc>
          <w:tcPr>
            <w:tcW w:w="1621" w:type="dxa"/>
          </w:tcPr>
          <w:p w:rsidR="004D2220" w:rsidRDefault="004D2220" w:rsidP="004D2220">
            <w:pPr>
              <w:jc w:val="both"/>
              <w:rPr>
                <w:spacing w:val="-3"/>
              </w:rPr>
            </w:pPr>
            <w:r w:rsidRPr="004D2220">
              <w:rPr>
                <w:spacing w:val="-3"/>
              </w:rPr>
              <w:t>298097.269</w:t>
            </w:r>
          </w:p>
        </w:tc>
        <w:tc>
          <w:tcPr>
            <w:tcW w:w="1559" w:type="dxa"/>
          </w:tcPr>
          <w:p w:rsidR="004D2220" w:rsidRDefault="004D2220" w:rsidP="004D2220">
            <w:pPr>
              <w:jc w:val="both"/>
              <w:rPr>
                <w:spacing w:val="-3"/>
              </w:rPr>
            </w:pPr>
            <w:r w:rsidRPr="004D2220">
              <w:rPr>
                <w:spacing w:val="-3"/>
              </w:rPr>
              <w:t>962071.630</w:t>
            </w:r>
          </w:p>
        </w:tc>
      </w:tr>
      <w:tr w:rsidR="004D2220" w:rsidTr="004D2220">
        <w:tc>
          <w:tcPr>
            <w:tcW w:w="1214" w:type="dxa"/>
          </w:tcPr>
          <w:p w:rsidR="004D2220" w:rsidRPr="004D2220" w:rsidRDefault="004D2220" w:rsidP="004D2220">
            <w:pPr>
              <w:jc w:val="both"/>
              <w:rPr>
                <w:b/>
                <w:spacing w:val="-3"/>
              </w:rPr>
            </w:pPr>
            <w:r w:rsidRPr="004D2220">
              <w:rPr>
                <w:b/>
                <w:spacing w:val="-3"/>
              </w:rPr>
              <w:t>3</w:t>
            </w:r>
          </w:p>
        </w:tc>
        <w:tc>
          <w:tcPr>
            <w:tcW w:w="1621" w:type="dxa"/>
          </w:tcPr>
          <w:p w:rsidR="004D2220" w:rsidRDefault="004D2220" w:rsidP="004D2220">
            <w:pPr>
              <w:jc w:val="both"/>
              <w:rPr>
                <w:spacing w:val="-3"/>
              </w:rPr>
            </w:pPr>
            <w:r w:rsidRPr="004D2220">
              <w:rPr>
                <w:spacing w:val="-3"/>
              </w:rPr>
              <w:t>298072.241</w:t>
            </w:r>
          </w:p>
        </w:tc>
        <w:tc>
          <w:tcPr>
            <w:tcW w:w="1559" w:type="dxa"/>
          </w:tcPr>
          <w:p w:rsidR="004D2220" w:rsidRDefault="004D2220" w:rsidP="004D2220">
            <w:pPr>
              <w:jc w:val="both"/>
              <w:rPr>
                <w:spacing w:val="-3"/>
              </w:rPr>
            </w:pPr>
            <w:r w:rsidRPr="004D2220">
              <w:rPr>
                <w:spacing w:val="-3"/>
              </w:rPr>
              <w:t>962072.580</w:t>
            </w:r>
          </w:p>
        </w:tc>
      </w:tr>
      <w:tr w:rsidR="004D2220" w:rsidTr="004D2220">
        <w:tc>
          <w:tcPr>
            <w:tcW w:w="1214" w:type="dxa"/>
          </w:tcPr>
          <w:p w:rsidR="004D2220" w:rsidRPr="004D2220" w:rsidRDefault="004D2220" w:rsidP="004D2220">
            <w:pPr>
              <w:jc w:val="both"/>
              <w:rPr>
                <w:b/>
                <w:spacing w:val="-3"/>
              </w:rPr>
            </w:pPr>
            <w:r w:rsidRPr="004D2220">
              <w:rPr>
                <w:b/>
                <w:spacing w:val="-3"/>
              </w:rPr>
              <w:t>4</w:t>
            </w:r>
          </w:p>
        </w:tc>
        <w:tc>
          <w:tcPr>
            <w:tcW w:w="1621" w:type="dxa"/>
          </w:tcPr>
          <w:p w:rsidR="004D2220" w:rsidRDefault="004D2220" w:rsidP="004D2220">
            <w:pPr>
              <w:jc w:val="both"/>
              <w:rPr>
                <w:spacing w:val="-3"/>
              </w:rPr>
            </w:pPr>
            <w:r w:rsidRPr="004D2220">
              <w:rPr>
                <w:spacing w:val="-3"/>
              </w:rPr>
              <w:t>297985.104</w:t>
            </w:r>
          </w:p>
        </w:tc>
        <w:tc>
          <w:tcPr>
            <w:tcW w:w="1559" w:type="dxa"/>
          </w:tcPr>
          <w:p w:rsidR="004D2220" w:rsidRDefault="004D2220" w:rsidP="004D2220">
            <w:pPr>
              <w:jc w:val="both"/>
              <w:rPr>
                <w:spacing w:val="-3"/>
              </w:rPr>
            </w:pPr>
            <w:r w:rsidRPr="004D2220">
              <w:rPr>
                <w:spacing w:val="-3"/>
              </w:rPr>
              <w:t>962084.493</w:t>
            </w:r>
          </w:p>
        </w:tc>
      </w:tr>
      <w:tr w:rsidR="004D2220" w:rsidTr="004D2220">
        <w:tc>
          <w:tcPr>
            <w:tcW w:w="1214" w:type="dxa"/>
          </w:tcPr>
          <w:p w:rsidR="004D2220" w:rsidRPr="004D2220" w:rsidRDefault="004D2220" w:rsidP="004D2220">
            <w:pPr>
              <w:jc w:val="both"/>
              <w:rPr>
                <w:b/>
                <w:spacing w:val="-3"/>
              </w:rPr>
            </w:pPr>
            <w:r w:rsidRPr="004D2220">
              <w:rPr>
                <w:b/>
                <w:spacing w:val="-3"/>
              </w:rPr>
              <w:t>5</w:t>
            </w:r>
          </w:p>
        </w:tc>
        <w:tc>
          <w:tcPr>
            <w:tcW w:w="1621" w:type="dxa"/>
          </w:tcPr>
          <w:p w:rsidR="004D2220" w:rsidRDefault="004D2220" w:rsidP="004D2220">
            <w:pPr>
              <w:jc w:val="both"/>
              <w:rPr>
                <w:spacing w:val="-3"/>
              </w:rPr>
            </w:pPr>
            <w:r w:rsidRPr="004D2220">
              <w:rPr>
                <w:spacing w:val="-3"/>
              </w:rPr>
              <w:t>297986.963</w:t>
            </w:r>
          </w:p>
        </w:tc>
        <w:tc>
          <w:tcPr>
            <w:tcW w:w="1559" w:type="dxa"/>
          </w:tcPr>
          <w:p w:rsidR="004D2220" w:rsidRDefault="004D2220" w:rsidP="004D2220">
            <w:pPr>
              <w:jc w:val="both"/>
              <w:rPr>
                <w:spacing w:val="-3"/>
              </w:rPr>
            </w:pPr>
            <w:r w:rsidRPr="004D2220">
              <w:rPr>
                <w:spacing w:val="-3"/>
              </w:rPr>
              <w:t>962168.109</w:t>
            </w:r>
          </w:p>
        </w:tc>
      </w:tr>
      <w:tr w:rsidR="004D2220" w:rsidTr="004D2220">
        <w:tc>
          <w:tcPr>
            <w:tcW w:w="1214" w:type="dxa"/>
          </w:tcPr>
          <w:p w:rsidR="004D2220" w:rsidRPr="004D2220" w:rsidRDefault="004D2220" w:rsidP="004D2220">
            <w:pPr>
              <w:jc w:val="both"/>
              <w:rPr>
                <w:b/>
                <w:spacing w:val="-3"/>
              </w:rPr>
            </w:pPr>
            <w:r w:rsidRPr="004D2220">
              <w:rPr>
                <w:b/>
                <w:spacing w:val="-3"/>
              </w:rPr>
              <w:t>6</w:t>
            </w:r>
          </w:p>
        </w:tc>
        <w:tc>
          <w:tcPr>
            <w:tcW w:w="1621" w:type="dxa"/>
          </w:tcPr>
          <w:p w:rsidR="004D2220" w:rsidRDefault="004D2220" w:rsidP="004D2220">
            <w:pPr>
              <w:jc w:val="both"/>
              <w:rPr>
                <w:spacing w:val="-3"/>
              </w:rPr>
            </w:pPr>
            <w:r w:rsidRPr="004D2220">
              <w:rPr>
                <w:spacing w:val="-3"/>
              </w:rPr>
              <w:t>297988.887</w:t>
            </w:r>
          </w:p>
        </w:tc>
        <w:tc>
          <w:tcPr>
            <w:tcW w:w="1559" w:type="dxa"/>
          </w:tcPr>
          <w:p w:rsidR="004D2220" w:rsidRDefault="004D2220" w:rsidP="004D2220">
            <w:pPr>
              <w:jc w:val="both"/>
              <w:rPr>
                <w:spacing w:val="-3"/>
              </w:rPr>
            </w:pPr>
            <w:r w:rsidRPr="004D2220">
              <w:rPr>
                <w:spacing w:val="-3"/>
              </w:rPr>
              <w:t>962175.275</w:t>
            </w:r>
          </w:p>
        </w:tc>
      </w:tr>
      <w:tr w:rsidR="004D2220" w:rsidTr="004D2220">
        <w:tc>
          <w:tcPr>
            <w:tcW w:w="1214" w:type="dxa"/>
          </w:tcPr>
          <w:p w:rsidR="004D2220" w:rsidRPr="004D2220" w:rsidRDefault="004D2220" w:rsidP="004D2220">
            <w:pPr>
              <w:jc w:val="both"/>
              <w:rPr>
                <w:b/>
                <w:spacing w:val="-3"/>
              </w:rPr>
            </w:pPr>
            <w:r w:rsidRPr="004D2220">
              <w:rPr>
                <w:b/>
                <w:spacing w:val="-3"/>
              </w:rPr>
              <w:t>7</w:t>
            </w:r>
          </w:p>
        </w:tc>
        <w:tc>
          <w:tcPr>
            <w:tcW w:w="1621" w:type="dxa"/>
          </w:tcPr>
          <w:p w:rsidR="004D2220" w:rsidRDefault="004D2220" w:rsidP="004D2220">
            <w:pPr>
              <w:jc w:val="both"/>
              <w:rPr>
                <w:spacing w:val="-3"/>
              </w:rPr>
            </w:pPr>
            <w:r w:rsidRPr="004D2220">
              <w:rPr>
                <w:spacing w:val="-3"/>
              </w:rPr>
              <w:t>298081.109</w:t>
            </w:r>
          </w:p>
        </w:tc>
        <w:tc>
          <w:tcPr>
            <w:tcW w:w="1559" w:type="dxa"/>
          </w:tcPr>
          <w:p w:rsidR="004D2220" w:rsidRDefault="004D2220" w:rsidP="004D2220">
            <w:pPr>
              <w:jc w:val="both"/>
              <w:rPr>
                <w:spacing w:val="-3"/>
              </w:rPr>
            </w:pPr>
            <w:r w:rsidRPr="004D2220">
              <w:rPr>
                <w:spacing w:val="-3"/>
              </w:rPr>
              <w:t>962174.936</w:t>
            </w:r>
          </w:p>
        </w:tc>
      </w:tr>
    </w:tbl>
    <w:p w:rsidR="004D2220" w:rsidRDefault="004D2220" w:rsidP="000479C6">
      <w:pPr>
        <w:jc w:val="both"/>
        <w:rPr>
          <w:color w:val="000000"/>
        </w:rPr>
      </w:pPr>
    </w:p>
    <w:p w:rsidR="000479C6" w:rsidRPr="007D5020" w:rsidRDefault="000479C6" w:rsidP="000479C6">
      <w:pPr>
        <w:jc w:val="both"/>
        <w:rPr>
          <w:color w:val="000000"/>
        </w:rPr>
      </w:pPr>
      <w:r w:rsidRPr="007D5020">
        <w:rPr>
          <w:color w:val="000000"/>
        </w:rPr>
        <w:t xml:space="preserve">Mediante el </w:t>
      </w:r>
      <w:r w:rsidRPr="007D5020">
        <w:rPr>
          <w:b/>
          <w:color w:val="000000"/>
        </w:rPr>
        <w:t xml:space="preserve">PROVEÍDO </w:t>
      </w:r>
      <w:r w:rsidR="004D2220" w:rsidRPr="004D2220">
        <w:rPr>
          <w:b/>
          <w:color w:val="000000"/>
        </w:rPr>
        <w:t>DRCH-ADM-094-2019</w:t>
      </w:r>
      <w:r w:rsidRPr="007D5020">
        <w:rPr>
          <w:color w:val="000000"/>
        </w:rPr>
        <w:t xml:space="preserve">, de </w:t>
      </w:r>
      <w:r w:rsidR="009F166A">
        <w:rPr>
          <w:color w:val="000000"/>
          <w:lang w:val="es-PA"/>
        </w:rPr>
        <w:t>21</w:t>
      </w:r>
      <w:r w:rsidRPr="007D5020">
        <w:rPr>
          <w:color w:val="000000"/>
        </w:rPr>
        <w:t xml:space="preserve"> de agosto de 2019, MiAMBIENTE admite a la fase de evaluación y análisis el Estudio de Impacto Ambiental, Categoría I, del proyecto denominado </w:t>
      </w:r>
      <w:r w:rsidRPr="007D5020">
        <w:rPr>
          <w:b/>
          <w:bCs/>
        </w:rPr>
        <w:t>“</w:t>
      </w:r>
      <w:r w:rsidR="009F166A" w:rsidRPr="009F166A">
        <w:rPr>
          <w:b/>
          <w:bCs/>
        </w:rPr>
        <w:t xml:space="preserve">EXTRACCIÓN DE MINERAL NO METÁLICO GRAVA CONTINENTAL </w:t>
      </w:r>
      <w:r w:rsidR="009F166A" w:rsidRPr="009F166A">
        <w:rPr>
          <w:b/>
          <w:bCs/>
        </w:rPr>
        <w:lastRenderedPageBreak/>
        <w:t>BAJOS DE CHIRIQUÍ</w:t>
      </w:r>
      <w:r w:rsidRPr="007D5020">
        <w:rPr>
          <w:b/>
        </w:rPr>
        <w:t>”</w:t>
      </w:r>
      <w:r w:rsidRPr="007D5020">
        <w:rPr>
          <w:color w:val="000000"/>
        </w:rPr>
        <w:t>, en virtud de lo establecido para tales efectos en el Decreto Ejecutivo No. 123 de 14 de agosto de 2009, modificado por el Decreto Ejecutivo No. 155 de 5 de agosto de 2011</w:t>
      </w:r>
      <w:r w:rsidRPr="007D5020">
        <w:t xml:space="preserve"> </w:t>
      </w:r>
      <w:r w:rsidRPr="007D5020">
        <w:rPr>
          <w:color w:val="000000"/>
        </w:rPr>
        <w:t>Decreto Ejecutivo No. 36 del 03 de junio de 2019 y demás normas complementarias y concordantes.</w:t>
      </w:r>
    </w:p>
    <w:p w:rsidR="000479C6" w:rsidRPr="007D5020" w:rsidRDefault="000479C6" w:rsidP="000479C6">
      <w:pPr>
        <w:pStyle w:val="Textoindependiente"/>
        <w:spacing w:before="240"/>
        <w:rPr>
          <w:color w:val="000000"/>
          <w:spacing w:val="0"/>
          <w:sz w:val="24"/>
          <w:szCs w:val="24"/>
        </w:rPr>
      </w:pPr>
      <w:r w:rsidRPr="007D5020">
        <w:rPr>
          <w:color w:val="000000"/>
          <w:spacing w:val="0"/>
          <w:sz w:val="24"/>
          <w:szCs w:val="24"/>
        </w:rPr>
        <w:t>Que como parte del proceso de evaluación, se verifico las coordenadas presentadas en el estudio de impacto ambiental en la Dirección de Evaluación y Ordenamiento Ambiental, en la cual dio como resultado el área apr</w:t>
      </w:r>
      <w:r w:rsidR="009F166A">
        <w:rPr>
          <w:color w:val="000000"/>
          <w:spacing w:val="0"/>
          <w:sz w:val="24"/>
          <w:szCs w:val="24"/>
        </w:rPr>
        <w:t>oximada del polígono es de 1 ha.</w:t>
      </w:r>
    </w:p>
    <w:p w:rsidR="000479C6" w:rsidRPr="007D5020" w:rsidRDefault="009F166A" w:rsidP="000479C6">
      <w:pPr>
        <w:pStyle w:val="Textoindependiente"/>
        <w:spacing w:before="240"/>
        <w:rPr>
          <w:color w:val="000000"/>
          <w:spacing w:val="0"/>
          <w:sz w:val="24"/>
          <w:szCs w:val="24"/>
        </w:rPr>
      </w:pPr>
      <w:r>
        <w:rPr>
          <w:color w:val="000000"/>
          <w:spacing w:val="0"/>
          <w:sz w:val="24"/>
          <w:szCs w:val="24"/>
        </w:rPr>
        <w:t>El día 3 de septiembre</w:t>
      </w:r>
      <w:r w:rsidR="000479C6" w:rsidRPr="007D5020">
        <w:rPr>
          <w:color w:val="000000"/>
          <w:spacing w:val="0"/>
          <w:sz w:val="24"/>
          <w:szCs w:val="24"/>
        </w:rPr>
        <w:t xml:space="preserve"> de 2019, se coordina la inspección al proyecto “</w:t>
      </w:r>
      <w:r w:rsidRPr="009F166A">
        <w:rPr>
          <w:b/>
          <w:color w:val="000000"/>
          <w:spacing w:val="0"/>
          <w:sz w:val="24"/>
          <w:szCs w:val="24"/>
        </w:rPr>
        <w:t>EXTRACCIÓN DE MINERAL NO METÁLICO GRAVA CONTINENTAL BAJOS DE CHIRIQUÍ</w:t>
      </w:r>
      <w:r w:rsidR="000479C6" w:rsidRPr="007D5020">
        <w:rPr>
          <w:color w:val="000000"/>
          <w:spacing w:val="0"/>
          <w:sz w:val="24"/>
          <w:szCs w:val="24"/>
        </w:rPr>
        <w:t>”, a través de notas se coordina con el promotor del proyecto.</w:t>
      </w:r>
    </w:p>
    <w:p w:rsidR="000479C6" w:rsidRPr="007D5020" w:rsidRDefault="000479C6" w:rsidP="000479C6">
      <w:pPr>
        <w:pStyle w:val="Textoindependiente"/>
        <w:spacing w:before="240"/>
        <w:rPr>
          <w:color w:val="000000"/>
          <w:spacing w:val="0"/>
          <w:sz w:val="24"/>
          <w:szCs w:val="24"/>
        </w:rPr>
      </w:pPr>
      <w:r w:rsidRPr="007D5020">
        <w:rPr>
          <w:color w:val="000000"/>
          <w:spacing w:val="0"/>
          <w:sz w:val="24"/>
          <w:szCs w:val="24"/>
        </w:rPr>
        <w:t>El día</w:t>
      </w:r>
      <w:r w:rsidR="009F166A">
        <w:rPr>
          <w:color w:val="000000"/>
          <w:spacing w:val="0"/>
          <w:sz w:val="24"/>
          <w:szCs w:val="24"/>
        </w:rPr>
        <w:t xml:space="preserve"> 6</w:t>
      </w:r>
      <w:r w:rsidRPr="007D5020">
        <w:rPr>
          <w:color w:val="000000"/>
          <w:spacing w:val="0"/>
          <w:sz w:val="24"/>
          <w:szCs w:val="24"/>
        </w:rPr>
        <w:t xml:space="preserve"> de</w:t>
      </w:r>
      <w:r w:rsidR="009F166A">
        <w:rPr>
          <w:color w:val="000000"/>
          <w:spacing w:val="0"/>
          <w:sz w:val="24"/>
          <w:szCs w:val="24"/>
        </w:rPr>
        <w:t xml:space="preserve"> septiembre</w:t>
      </w:r>
      <w:r w:rsidRPr="007D5020">
        <w:rPr>
          <w:color w:val="000000"/>
          <w:spacing w:val="0"/>
          <w:sz w:val="24"/>
          <w:szCs w:val="24"/>
        </w:rPr>
        <w:t xml:space="preserve"> de 2019, se realizó inspección al área propuesta para el desarrollo del proyecto, por parte del personal técnico de la Sección de Evaluación de Impacto Ambiental del Ministerio de Ambiente – Regional de Chiriquí,</w:t>
      </w:r>
    </w:p>
    <w:p w:rsidR="000479C6" w:rsidRPr="007D5020" w:rsidRDefault="000479C6" w:rsidP="000479C6">
      <w:pPr>
        <w:tabs>
          <w:tab w:val="left" w:pos="-1890"/>
        </w:tabs>
        <w:autoSpaceDE w:val="0"/>
        <w:autoSpaceDN w:val="0"/>
        <w:adjustRightInd w:val="0"/>
        <w:jc w:val="both"/>
        <w:rPr>
          <w:b/>
        </w:rPr>
      </w:pPr>
    </w:p>
    <w:p w:rsidR="000479C6" w:rsidRPr="007D5020" w:rsidRDefault="000479C6" w:rsidP="000479C6">
      <w:pPr>
        <w:tabs>
          <w:tab w:val="left" w:pos="-1890"/>
        </w:tabs>
        <w:autoSpaceDE w:val="0"/>
        <w:autoSpaceDN w:val="0"/>
        <w:adjustRightInd w:val="0"/>
        <w:jc w:val="both"/>
        <w:rPr>
          <w:b/>
        </w:rPr>
      </w:pPr>
    </w:p>
    <w:p w:rsidR="000479C6" w:rsidRPr="007D5020" w:rsidRDefault="000479C6" w:rsidP="000479C6">
      <w:pPr>
        <w:numPr>
          <w:ilvl w:val="0"/>
          <w:numId w:val="1"/>
        </w:numPr>
        <w:tabs>
          <w:tab w:val="left" w:pos="-1890"/>
        </w:tabs>
        <w:autoSpaceDE w:val="0"/>
        <w:autoSpaceDN w:val="0"/>
        <w:adjustRightInd w:val="0"/>
        <w:ind w:left="360"/>
        <w:jc w:val="both"/>
        <w:rPr>
          <w:b/>
        </w:rPr>
      </w:pPr>
      <w:r w:rsidRPr="007D5020">
        <w:rPr>
          <w:b/>
        </w:rPr>
        <w:t>ANÁLISIS TÉCNICO</w:t>
      </w:r>
    </w:p>
    <w:p w:rsidR="000479C6" w:rsidRPr="007D5020" w:rsidRDefault="000479C6" w:rsidP="000479C6">
      <w:pPr>
        <w:jc w:val="both"/>
        <w:rPr>
          <w:highlight w:val="yellow"/>
        </w:rPr>
      </w:pPr>
    </w:p>
    <w:p w:rsidR="000479C6" w:rsidRPr="007D5020" w:rsidRDefault="000479C6" w:rsidP="000479C6">
      <w:pPr>
        <w:jc w:val="both"/>
        <w:rPr>
          <w:color w:val="000000"/>
        </w:rPr>
      </w:pPr>
      <w:r w:rsidRPr="007D5020">
        <w:t xml:space="preserve">Después de la revisión y análisis del EsIA y cada uno de sus componentes ambientales, así como su Plan de Manejo Ambiental, pasamos a revisar </w:t>
      </w:r>
      <w:r w:rsidRPr="007D5020">
        <w:rPr>
          <w:color w:val="000000"/>
        </w:rPr>
        <w:t>algunos aspectos destacables en el proceso de evaluación del Estudio.</w:t>
      </w:r>
    </w:p>
    <w:p w:rsidR="000479C6" w:rsidRPr="007D5020" w:rsidRDefault="000479C6" w:rsidP="000479C6">
      <w:pPr>
        <w:autoSpaceDE w:val="0"/>
        <w:autoSpaceDN w:val="0"/>
        <w:adjustRightInd w:val="0"/>
        <w:jc w:val="both"/>
        <w:rPr>
          <w:b/>
        </w:rPr>
      </w:pPr>
    </w:p>
    <w:p w:rsidR="000479C6" w:rsidRPr="007D5020" w:rsidRDefault="000479C6" w:rsidP="000479C6">
      <w:pPr>
        <w:autoSpaceDE w:val="0"/>
        <w:autoSpaceDN w:val="0"/>
        <w:adjustRightInd w:val="0"/>
        <w:jc w:val="both"/>
        <w:rPr>
          <w:b/>
        </w:rPr>
      </w:pPr>
      <w:r w:rsidRPr="007D5020">
        <w:rPr>
          <w:b/>
        </w:rPr>
        <w:t xml:space="preserve">Componente físico: </w:t>
      </w:r>
    </w:p>
    <w:p w:rsidR="000479C6" w:rsidRPr="007D5020" w:rsidRDefault="000479C6" w:rsidP="000479C6">
      <w:pPr>
        <w:autoSpaceDE w:val="0"/>
        <w:autoSpaceDN w:val="0"/>
        <w:adjustRightInd w:val="0"/>
        <w:jc w:val="both"/>
        <w:rPr>
          <w:b/>
        </w:rPr>
      </w:pPr>
    </w:p>
    <w:p w:rsidR="000479C6" w:rsidRPr="007D5020" w:rsidRDefault="000479C6" w:rsidP="000479C6">
      <w:pPr>
        <w:autoSpaceDE w:val="0"/>
        <w:autoSpaceDN w:val="0"/>
        <w:adjustRightInd w:val="0"/>
        <w:jc w:val="both"/>
      </w:pPr>
      <w:r w:rsidRPr="007D5020">
        <w:t xml:space="preserve">El EsIA, presentado por la empresa promotora, describe lo siguiente, respecto al ambiente físico del área donde se desarrollara el proyecto: </w:t>
      </w:r>
    </w:p>
    <w:p w:rsidR="00061C91" w:rsidRPr="00061C91" w:rsidRDefault="00061C91" w:rsidP="000479C6">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061C91">
        <w:rPr>
          <w:rFonts w:ascii="Times New Roman" w:hAnsi="Times New Roman"/>
          <w:sz w:val="24"/>
          <w:szCs w:val="24"/>
          <w:lang w:val="es-ES"/>
        </w:rPr>
        <w:t xml:space="preserve">Según la clasificación agrológica de los suelos en la República de Panamá, el sitio del proyecto presenta suelos de Clase VII que corresponde a terrenos no arables, con limitaciones muy severas en la selección de las plantas. </w:t>
      </w:r>
    </w:p>
    <w:p w:rsidR="0056755C" w:rsidRPr="0056755C" w:rsidRDefault="0056755C" w:rsidP="0056755C">
      <w:pPr>
        <w:pStyle w:val="Prrafodelista1"/>
        <w:numPr>
          <w:ilvl w:val="0"/>
          <w:numId w:val="5"/>
        </w:numPr>
        <w:autoSpaceDE w:val="0"/>
        <w:autoSpaceDN w:val="0"/>
        <w:adjustRightInd w:val="0"/>
        <w:jc w:val="both"/>
        <w:rPr>
          <w:rFonts w:ascii="Times New Roman" w:eastAsiaTheme="minorHAnsi" w:hAnsi="Times New Roman"/>
          <w:color w:val="000000"/>
          <w:sz w:val="24"/>
          <w:szCs w:val="24"/>
        </w:rPr>
      </w:pPr>
      <w:r w:rsidRPr="0056755C">
        <w:rPr>
          <w:rFonts w:ascii="Times New Roman" w:eastAsiaTheme="minorHAnsi" w:hAnsi="Times New Roman"/>
          <w:color w:val="000000"/>
          <w:sz w:val="24"/>
          <w:szCs w:val="24"/>
        </w:rPr>
        <w:t>Geológicamente, las rocas de la región pertenecen a la Formación Barú procedentes de</w:t>
      </w:r>
      <w:r>
        <w:rPr>
          <w:rFonts w:ascii="Times New Roman" w:eastAsiaTheme="minorHAnsi" w:hAnsi="Times New Roman"/>
          <w:color w:val="000000"/>
          <w:sz w:val="24"/>
          <w:szCs w:val="24"/>
        </w:rPr>
        <w:t xml:space="preserve"> </w:t>
      </w:r>
      <w:proofErr w:type="spellStart"/>
      <w:r w:rsidRPr="0056755C">
        <w:rPr>
          <w:rFonts w:ascii="Times New Roman" w:eastAsiaTheme="minorHAnsi" w:hAnsi="Times New Roman"/>
          <w:color w:val="000000"/>
          <w:sz w:val="24"/>
          <w:szCs w:val="24"/>
        </w:rPr>
        <w:t>explayamiento</w:t>
      </w:r>
      <w:proofErr w:type="spellEnd"/>
      <w:r w:rsidRPr="0056755C">
        <w:rPr>
          <w:rFonts w:ascii="Times New Roman" w:eastAsiaTheme="minorHAnsi" w:hAnsi="Times New Roman"/>
          <w:color w:val="000000"/>
          <w:sz w:val="24"/>
          <w:szCs w:val="24"/>
        </w:rPr>
        <w:t xml:space="preserve"> </w:t>
      </w:r>
      <w:proofErr w:type="spellStart"/>
      <w:r w:rsidRPr="0056755C">
        <w:rPr>
          <w:rFonts w:ascii="Times New Roman" w:eastAsiaTheme="minorHAnsi" w:hAnsi="Times New Roman"/>
          <w:color w:val="000000"/>
          <w:sz w:val="24"/>
          <w:szCs w:val="24"/>
        </w:rPr>
        <w:t>hidrovolcánico</w:t>
      </w:r>
      <w:proofErr w:type="spellEnd"/>
      <w:r w:rsidRPr="0056755C">
        <w:rPr>
          <w:rFonts w:ascii="Times New Roman" w:eastAsiaTheme="minorHAnsi" w:hAnsi="Times New Roman"/>
          <w:color w:val="000000"/>
          <w:sz w:val="24"/>
          <w:szCs w:val="24"/>
        </w:rPr>
        <w:t xml:space="preserve"> del Periodo Cuaternario Antiguo y Medio, ellas son los basaltos, andesitas, cenizas, tobas aglomerados y lavas.</w:t>
      </w:r>
      <w:r w:rsidRPr="0056755C">
        <w:rPr>
          <w:rFonts w:ascii="Times New Roman" w:eastAsiaTheme="minorHAnsi" w:hAnsi="Times New Roman"/>
          <w:bCs/>
          <w:color w:val="000000"/>
          <w:sz w:val="24"/>
          <w:szCs w:val="24"/>
        </w:rPr>
        <w:t xml:space="preserve"> </w:t>
      </w:r>
    </w:p>
    <w:p w:rsidR="0056755C" w:rsidRPr="0056755C" w:rsidRDefault="0056755C" w:rsidP="000479C6">
      <w:pPr>
        <w:pStyle w:val="Prrafodelista1"/>
        <w:numPr>
          <w:ilvl w:val="0"/>
          <w:numId w:val="5"/>
        </w:numPr>
        <w:autoSpaceDE w:val="0"/>
        <w:autoSpaceDN w:val="0"/>
        <w:adjustRightInd w:val="0"/>
        <w:spacing w:line="240" w:lineRule="auto"/>
        <w:jc w:val="both"/>
        <w:rPr>
          <w:rFonts w:ascii="Times New Roman" w:hAnsi="Times New Roman"/>
          <w:color w:val="000000"/>
          <w:sz w:val="24"/>
          <w:szCs w:val="24"/>
          <w:lang w:val="es-ES"/>
        </w:rPr>
      </w:pPr>
      <w:r w:rsidRPr="0056755C">
        <w:rPr>
          <w:rFonts w:ascii="Times New Roman" w:eastAsiaTheme="minorHAnsi" w:hAnsi="Times New Roman"/>
          <w:bCs/>
          <w:color w:val="000000"/>
          <w:sz w:val="24"/>
          <w:szCs w:val="24"/>
          <w:lang w:val="es-ES"/>
        </w:rPr>
        <w:t xml:space="preserve">El propietario de la finca posee un total de 26 has + 8,734.99 m2 de la cual se utilizará una (1) hectárea para la extracción de material. La finca global se caracteriza por ser potreros con árboles dispersos, cercas vivas y pasto. La vivienda cercana queda a una distancia aproximada de 900 metros. </w:t>
      </w:r>
    </w:p>
    <w:p w:rsidR="0056755C" w:rsidRPr="0056755C" w:rsidRDefault="0056755C" w:rsidP="0056755C">
      <w:pPr>
        <w:pStyle w:val="Prrafodelista1"/>
        <w:numPr>
          <w:ilvl w:val="0"/>
          <w:numId w:val="5"/>
        </w:numPr>
        <w:autoSpaceDE w:val="0"/>
        <w:autoSpaceDN w:val="0"/>
        <w:adjustRightInd w:val="0"/>
        <w:jc w:val="both"/>
        <w:rPr>
          <w:rFonts w:ascii="Times New Roman" w:hAnsi="Times New Roman"/>
          <w:color w:val="000000"/>
          <w:sz w:val="24"/>
          <w:szCs w:val="24"/>
          <w:lang w:val="es-ES"/>
        </w:rPr>
      </w:pPr>
      <w:r w:rsidRPr="0056755C">
        <w:rPr>
          <w:rFonts w:ascii="Times New Roman" w:hAnsi="Times New Roman"/>
          <w:color w:val="000000"/>
          <w:sz w:val="24"/>
          <w:szCs w:val="24"/>
          <w:lang w:val="es-ES"/>
        </w:rPr>
        <w:t>La topografía del terreno presenta ondulaciones suaves (15-20 % de pendiente) que favorecen</w:t>
      </w:r>
      <w:r>
        <w:rPr>
          <w:rFonts w:ascii="Times New Roman" w:hAnsi="Times New Roman"/>
          <w:color w:val="000000"/>
          <w:sz w:val="24"/>
          <w:szCs w:val="24"/>
          <w:lang w:val="es-ES"/>
        </w:rPr>
        <w:t xml:space="preserve"> </w:t>
      </w:r>
      <w:r w:rsidRPr="0056755C">
        <w:rPr>
          <w:rFonts w:ascii="Times New Roman" w:hAnsi="Times New Roman"/>
          <w:color w:val="000000"/>
          <w:sz w:val="24"/>
          <w:szCs w:val="24"/>
          <w:lang w:val="es-ES"/>
        </w:rPr>
        <w:t xml:space="preserve">la extracción del material pétreo. </w:t>
      </w:r>
    </w:p>
    <w:p w:rsidR="000479C6" w:rsidRPr="0056755C" w:rsidRDefault="0056755C" w:rsidP="000479C6">
      <w:pPr>
        <w:pStyle w:val="Prrafodelista1"/>
        <w:numPr>
          <w:ilvl w:val="0"/>
          <w:numId w:val="5"/>
        </w:numPr>
        <w:autoSpaceDE w:val="0"/>
        <w:autoSpaceDN w:val="0"/>
        <w:adjustRightInd w:val="0"/>
        <w:jc w:val="both"/>
        <w:rPr>
          <w:rFonts w:ascii="Times New Roman" w:hAnsi="Times New Roman"/>
          <w:color w:val="000000"/>
          <w:sz w:val="24"/>
          <w:szCs w:val="24"/>
          <w:lang w:val="es-ES"/>
        </w:rPr>
      </w:pPr>
      <w:r w:rsidRPr="0056755C">
        <w:rPr>
          <w:rFonts w:ascii="Times New Roman" w:hAnsi="Times New Roman"/>
          <w:color w:val="000000"/>
          <w:sz w:val="24"/>
          <w:szCs w:val="24"/>
        </w:rPr>
        <w:t>El proyecto en referencia se ubica dentro de la Cuenca Hidrográfica N°102, siendo el Río Chiriquí Viejo su afluente principal, la cuenca tiene una s</w:t>
      </w:r>
      <w:r>
        <w:rPr>
          <w:rFonts w:ascii="Times New Roman" w:hAnsi="Times New Roman"/>
          <w:color w:val="000000"/>
          <w:sz w:val="24"/>
          <w:szCs w:val="24"/>
        </w:rPr>
        <w:t>uperficie total de 1,339.36 km2</w:t>
      </w:r>
      <w:r w:rsidRPr="0056755C">
        <w:rPr>
          <w:rFonts w:ascii="Times New Roman" w:hAnsi="Times New Roman"/>
          <w:color w:val="000000"/>
          <w:sz w:val="24"/>
          <w:szCs w:val="24"/>
        </w:rPr>
        <w:t xml:space="preserve">, ubicada político – administrativamente entre los Distritos de Renacimiento, Bugaba y </w:t>
      </w:r>
      <w:proofErr w:type="spellStart"/>
      <w:r w:rsidRPr="0056755C">
        <w:rPr>
          <w:rFonts w:ascii="Times New Roman" w:hAnsi="Times New Roman"/>
          <w:color w:val="000000"/>
          <w:sz w:val="24"/>
          <w:szCs w:val="24"/>
        </w:rPr>
        <w:t>Alanje</w:t>
      </w:r>
      <w:proofErr w:type="spellEnd"/>
      <w:r w:rsidRPr="0056755C">
        <w:rPr>
          <w:rFonts w:ascii="Times New Roman" w:hAnsi="Times New Roman"/>
          <w:color w:val="000000"/>
          <w:sz w:val="24"/>
          <w:szCs w:val="24"/>
        </w:rPr>
        <w:t xml:space="preserve"> en la provincia de Chiriquí. El Río Chiriquí Viejo tiene una longitud total de 161 km y un caudal medio de 29.80 m3 /s. A unos 300 metros del proyecto pasa el río Chiriquí Viejo, el cual no será intervenido por ninguna actividad del proyecto y a unos 100 metros se ubica una quebrada sin nombre, que está fuera del área de trabajo y la misma no será intervenida.</w:t>
      </w:r>
    </w:p>
    <w:p w:rsidR="0056755C" w:rsidRPr="0056755C" w:rsidRDefault="0056755C" w:rsidP="0056755C">
      <w:pPr>
        <w:pStyle w:val="Prrafodelista1"/>
        <w:autoSpaceDE w:val="0"/>
        <w:autoSpaceDN w:val="0"/>
        <w:adjustRightInd w:val="0"/>
        <w:jc w:val="both"/>
        <w:rPr>
          <w:rFonts w:ascii="Times New Roman" w:hAnsi="Times New Roman"/>
          <w:color w:val="000000"/>
          <w:sz w:val="24"/>
          <w:szCs w:val="24"/>
          <w:lang w:val="es-ES"/>
        </w:rPr>
      </w:pPr>
    </w:p>
    <w:p w:rsidR="000479C6" w:rsidRPr="007D5020" w:rsidRDefault="000479C6" w:rsidP="000479C6">
      <w:pPr>
        <w:autoSpaceDE w:val="0"/>
        <w:autoSpaceDN w:val="0"/>
        <w:adjustRightInd w:val="0"/>
        <w:jc w:val="both"/>
        <w:rPr>
          <w:b/>
        </w:rPr>
      </w:pPr>
      <w:r w:rsidRPr="007D5020">
        <w:rPr>
          <w:b/>
        </w:rPr>
        <w:t>Componente Biológico:</w:t>
      </w:r>
    </w:p>
    <w:p w:rsidR="000479C6" w:rsidRPr="007D5020" w:rsidRDefault="000479C6" w:rsidP="000479C6">
      <w:pPr>
        <w:autoSpaceDE w:val="0"/>
        <w:autoSpaceDN w:val="0"/>
        <w:adjustRightInd w:val="0"/>
        <w:jc w:val="both"/>
      </w:pPr>
    </w:p>
    <w:p w:rsidR="000479C6" w:rsidRPr="007D5020" w:rsidRDefault="000479C6" w:rsidP="000479C6">
      <w:pPr>
        <w:autoSpaceDE w:val="0"/>
        <w:autoSpaceDN w:val="0"/>
        <w:adjustRightInd w:val="0"/>
        <w:jc w:val="both"/>
        <w:rPr>
          <w:rFonts w:eastAsiaTheme="minorHAnsi"/>
          <w:lang w:val="es-PA" w:eastAsia="en-US"/>
        </w:rPr>
      </w:pPr>
      <w:r w:rsidRPr="007D5020">
        <w:t xml:space="preserve">Según se describe en el EsIA, </w:t>
      </w:r>
      <w:r w:rsidR="0056755C" w:rsidRPr="0056755C">
        <w:rPr>
          <w:rFonts w:eastAsiaTheme="minorHAnsi"/>
          <w:lang w:eastAsia="en-US"/>
        </w:rPr>
        <w:t>Entre la vegetación observada se encuentran gramíneas tales como pasto mejorado (</w:t>
      </w:r>
      <w:proofErr w:type="spellStart"/>
      <w:r w:rsidR="0056755C" w:rsidRPr="0056755C">
        <w:rPr>
          <w:rFonts w:eastAsiaTheme="minorHAnsi"/>
          <w:i/>
          <w:lang w:eastAsia="en-US"/>
        </w:rPr>
        <w:t>Brizantha</w:t>
      </w:r>
      <w:proofErr w:type="spellEnd"/>
      <w:r w:rsidR="0056755C" w:rsidRPr="0056755C">
        <w:rPr>
          <w:rFonts w:eastAsiaTheme="minorHAnsi"/>
          <w:i/>
          <w:lang w:eastAsia="en-US"/>
        </w:rPr>
        <w:t xml:space="preserve"> cv </w:t>
      </w:r>
      <w:proofErr w:type="spellStart"/>
      <w:r w:rsidR="0056755C" w:rsidRPr="0056755C">
        <w:rPr>
          <w:rFonts w:eastAsiaTheme="minorHAnsi"/>
          <w:i/>
          <w:lang w:eastAsia="en-US"/>
        </w:rPr>
        <w:t>Marandú</w:t>
      </w:r>
      <w:proofErr w:type="spellEnd"/>
      <w:r w:rsidR="0056755C" w:rsidRPr="0056755C">
        <w:rPr>
          <w:rFonts w:eastAsiaTheme="minorHAnsi"/>
          <w:lang w:eastAsia="en-US"/>
        </w:rPr>
        <w:t xml:space="preserve">), pasto </w:t>
      </w:r>
      <w:proofErr w:type="spellStart"/>
      <w:r w:rsidR="0056755C" w:rsidRPr="0056755C">
        <w:rPr>
          <w:rFonts w:eastAsiaTheme="minorHAnsi"/>
          <w:lang w:eastAsia="en-US"/>
        </w:rPr>
        <w:t>faragua</w:t>
      </w:r>
      <w:proofErr w:type="spellEnd"/>
      <w:r w:rsidR="0056755C" w:rsidRPr="0056755C">
        <w:rPr>
          <w:rFonts w:eastAsiaTheme="minorHAnsi"/>
          <w:lang w:eastAsia="en-US"/>
        </w:rPr>
        <w:t xml:space="preserve"> (</w:t>
      </w:r>
      <w:proofErr w:type="spellStart"/>
      <w:r w:rsidR="0056755C" w:rsidRPr="0056755C">
        <w:rPr>
          <w:rFonts w:eastAsiaTheme="minorHAnsi"/>
          <w:i/>
          <w:lang w:eastAsia="en-US"/>
        </w:rPr>
        <w:t>Hyparrhenia</w:t>
      </w:r>
      <w:proofErr w:type="spellEnd"/>
      <w:r w:rsidR="0056755C" w:rsidRPr="0056755C">
        <w:rPr>
          <w:rFonts w:eastAsiaTheme="minorHAnsi"/>
          <w:i/>
          <w:lang w:eastAsia="en-US"/>
        </w:rPr>
        <w:t xml:space="preserve"> rufa</w:t>
      </w:r>
      <w:r w:rsidR="0056755C" w:rsidRPr="0056755C">
        <w:rPr>
          <w:rFonts w:eastAsiaTheme="minorHAnsi"/>
          <w:lang w:eastAsia="en-US"/>
        </w:rPr>
        <w:t xml:space="preserve">), dentro de las plantas herbáceas se encontraron especies de la familia de la </w:t>
      </w:r>
      <w:proofErr w:type="spellStart"/>
      <w:r w:rsidR="0056755C" w:rsidRPr="0056755C">
        <w:rPr>
          <w:rFonts w:eastAsiaTheme="minorHAnsi"/>
          <w:lang w:eastAsia="en-US"/>
        </w:rPr>
        <w:t>Melastomataceae</w:t>
      </w:r>
      <w:proofErr w:type="spellEnd"/>
      <w:r w:rsidR="0056755C" w:rsidRPr="0056755C">
        <w:rPr>
          <w:rFonts w:eastAsiaTheme="minorHAnsi"/>
          <w:lang w:eastAsia="en-US"/>
        </w:rPr>
        <w:t>, cordoncillo (</w:t>
      </w:r>
      <w:proofErr w:type="spellStart"/>
      <w:r w:rsidR="0056755C" w:rsidRPr="0056755C">
        <w:rPr>
          <w:rFonts w:eastAsiaTheme="minorHAnsi"/>
          <w:i/>
          <w:lang w:eastAsia="en-US"/>
        </w:rPr>
        <w:t>Piper</w:t>
      </w:r>
      <w:proofErr w:type="spellEnd"/>
      <w:r w:rsidR="0056755C" w:rsidRPr="0056755C">
        <w:rPr>
          <w:rFonts w:eastAsiaTheme="minorHAnsi"/>
          <w:i/>
          <w:lang w:eastAsia="en-US"/>
        </w:rPr>
        <w:t xml:space="preserve"> </w:t>
      </w:r>
      <w:proofErr w:type="spellStart"/>
      <w:r w:rsidR="0056755C" w:rsidRPr="0056755C">
        <w:rPr>
          <w:rFonts w:eastAsiaTheme="minorHAnsi"/>
          <w:i/>
          <w:lang w:eastAsia="en-US"/>
        </w:rPr>
        <w:t>aurantium</w:t>
      </w:r>
      <w:proofErr w:type="spellEnd"/>
      <w:r w:rsidR="0056755C" w:rsidRPr="0056755C">
        <w:rPr>
          <w:rFonts w:eastAsiaTheme="minorHAnsi"/>
          <w:i/>
          <w:lang w:eastAsia="en-US"/>
        </w:rPr>
        <w:t xml:space="preserve">), </w:t>
      </w:r>
      <w:r w:rsidR="0056755C" w:rsidRPr="0056755C">
        <w:rPr>
          <w:rFonts w:eastAsiaTheme="minorHAnsi"/>
          <w:lang w:eastAsia="en-US"/>
        </w:rPr>
        <w:t>heliconias (</w:t>
      </w:r>
      <w:r w:rsidR="0056755C" w:rsidRPr="0056755C">
        <w:rPr>
          <w:rFonts w:eastAsiaTheme="minorHAnsi"/>
          <w:i/>
          <w:lang w:eastAsia="en-US"/>
        </w:rPr>
        <w:t xml:space="preserve">Heliconia </w:t>
      </w:r>
      <w:proofErr w:type="spellStart"/>
      <w:r w:rsidR="0056755C" w:rsidRPr="0056755C">
        <w:rPr>
          <w:rFonts w:eastAsiaTheme="minorHAnsi"/>
          <w:i/>
          <w:lang w:eastAsia="en-US"/>
        </w:rPr>
        <w:t>latispatha</w:t>
      </w:r>
      <w:proofErr w:type="spellEnd"/>
      <w:r w:rsidR="0056755C" w:rsidRPr="0056755C">
        <w:rPr>
          <w:rFonts w:eastAsiaTheme="minorHAnsi"/>
          <w:lang w:eastAsia="en-US"/>
        </w:rPr>
        <w:t xml:space="preserve">) de la familia </w:t>
      </w:r>
      <w:proofErr w:type="spellStart"/>
      <w:r w:rsidR="0056755C" w:rsidRPr="0056755C">
        <w:rPr>
          <w:rFonts w:eastAsiaTheme="minorHAnsi"/>
          <w:lang w:eastAsia="en-US"/>
        </w:rPr>
        <w:t>Heliconiaceae</w:t>
      </w:r>
      <w:proofErr w:type="spellEnd"/>
      <w:r w:rsidR="0056755C" w:rsidRPr="0056755C">
        <w:rPr>
          <w:rFonts w:eastAsiaTheme="minorHAnsi"/>
          <w:lang w:eastAsia="en-US"/>
        </w:rPr>
        <w:t>, plantas de bijao (</w:t>
      </w:r>
      <w:proofErr w:type="spellStart"/>
      <w:r w:rsidR="0056755C" w:rsidRPr="0056755C">
        <w:rPr>
          <w:rFonts w:eastAsiaTheme="minorHAnsi"/>
          <w:i/>
          <w:lang w:eastAsia="en-US"/>
        </w:rPr>
        <w:t>Calathea</w:t>
      </w:r>
      <w:proofErr w:type="spellEnd"/>
      <w:r w:rsidR="0056755C" w:rsidRPr="0056755C">
        <w:rPr>
          <w:rFonts w:eastAsiaTheme="minorHAnsi"/>
          <w:i/>
          <w:lang w:eastAsia="en-US"/>
        </w:rPr>
        <w:t xml:space="preserve"> </w:t>
      </w:r>
      <w:proofErr w:type="spellStart"/>
      <w:r w:rsidR="0056755C" w:rsidRPr="0056755C">
        <w:rPr>
          <w:rFonts w:eastAsiaTheme="minorHAnsi"/>
          <w:i/>
          <w:lang w:eastAsia="en-US"/>
        </w:rPr>
        <w:t>lutea</w:t>
      </w:r>
      <w:proofErr w:type="spellEnd"/>
      <w:r w:rsidR="0056755C" w:rsidRPr="0056755C">
        <w:rPr>
          <w:rFonts w:eastAsiaTheme="minorHAnsi"/>
          <w:i/>
          <w:lang w:eastAsia="en-US"/>
        </w:rPr>
        <w:t xml:space="preserve">). </w:t>
      </w:r>
      <w:r w:rsidR="0056755C" w:rsidRPr="0056755C">
        <w:rPr>
          <w:rFonts w:eastAsiaTheme="minorHAnsi"/>
          <w:lang w:eastAsia="en-US"/>
        </w:rPr>
        <w:t xml:space="preserve">Entre las especies arbóreas están macano, guabas, palo santo. </w:t>
      </w:r>
      <w:r w:rsidRPr="007D5020">
        <w:t>(</w:t>
      </w:r>
      <w:r w:rsidR="0056755C">
        <w:rPr>
          <w:b/>
        </w:rPr>
        <w:t>Ver cuadro</w:t>
      </w:r>
      <w:r w:rsidRPr="007D5020">
        <w:rPr>
          <w:b/>
        </w:rPr>
        <w:t xml:space="preserve"> 9, del EsIA</w:t>
      </w:r>
      <w:r w:rsidRPr="007D5020">
        <w:t>)</w:t>
      </w:r>
    </w:p>
    <w:p w:rsidR="000479C6" w:rsidRPr="007D5020" w:rsidRDefault="000479C6" w:rsidP="000479C6">
      <w:pPr>
        <w:autoSpaceDE w:val="0"/>
        <w:autoSpaceDN w:val="0"/>
        <w:adjustRightInd w:val="0"/>
        <w:jc w:val="both"/>
        <w:rPr>
          <w:rFonts w:eastAsiaTheme="minorHAnsi"/>
          <w:lang w:eastAsia="en-US"/>
        </w:rPr>
      </w:pPr>
    </w:p>
    <w:p w:rsidR="000479C6" w:rsidRPr="007D5020" w:rsidRDefault="000479C6" w:rsidP="00CE4EE2">
      <w:pPr>
        <w:autoSpaceDE w:val="0"/>
        <w:autoSpaceDN w:val="0"/>
        <w:adjustRightInd w:val="0"/>
        <w:jc w:val="both"/>
        <w:rPr>
          <w:lang w:val="es-PA"/>
        </w:rPr>
      </w:pPr>
      <w:r w:rsidRPr="007D5020">
        <w:rPr>
          <w:rFonts w:eastAsiaTheme="minorHAnsi"/>
          <w:lang w:val="es-PA" w:eastAsia="en-US"/>
        </w:rPr>
        <w:t>Según lo que describe el equipo consultor que elaboró el EsIA,</w:t>
      </w:r>
      <w:r w:rsidRPr="007D5020">
        <w:rPr>
          <w:rFonts w:eastAsiaTheme="minorHAnsi"/>
          <w:lang w:eastAsia="en-US"/>
        </w:rPr>
        <w:t xml:space="preserve"> </w:t>
      </w:r>
      <w:r w:rsidR="00CE4EE2" w:rsidRPr="00CE4EE2">
        <w:rPr>
          <w:lang w:val="es-PA"/>
        </w:rPr>
        <w:t xml:space="preserve">Las especies de reptiles observadas fueron los anolis de la </w:t>
      </w:r>
      <w:r w:rsidR="00CE4EE2">
        <w:rPr>
          <w:lang w:val="es-PA"/>
        </w:rPr>
        <w:t xml:space="preserve">familia </w:t>
      </w:r>
      <w:proofErr w:type="spellStart"/>
      <w:r w:rsidR="00CE4EE2">
        <w:rPr>
          <w:lang w:val="es-PA"/>
        </w:rPr>
        <w:t>Dactyloideae</w:t>
      </w:r>
      <w:proofErr w:type="spellEnd"/>
      <w:r w:rsidR="00CE4EE2">
        <w:rPr>
          <w:lang w:val="es-PA"/>
        </w:rPr>
        <w:t xml:space="preserve">, ellas son: </w:t>
      </w:r>
      <w:r w:rsidR="00CE4EE2" w:rsidRPr="00CE4EE2">
        <w:rPr>
          <w:i/>
          <w:lang w:val="es-PA"/>
        </w:rPr>
        <w:t xml:space="preserve">Anolis </w:t>
      </w:r>
      <w:proofErr w:type="spellStart"/>
      <w:r w:rsidR="00CE4EE2" w:rsidRPr="00CE4EE2">
        <w:rPr>
          <w:i/>
          <w:lang w:val="es-PA"/>
        </w:rPr>
        <w:t>auratus</w:t>
      </w:r>
      <w:proofErr w:type="spellEnd"/>
      <w:r w:rsidR="00CE4EE2" w:rsidRPr="00CE4EE2">
        <w:rPr>
          <w:lang w:val="es-PA"/>
        </w:rPr>
        <w:t xml:space="preserve">, </w:t>
      </w:r>
      <w:r w:rsidR="00CE4EE2" w:rsidRPr="00CE4EE2">
        <w:rPr>
          <w:i/>
          <w:lang w:val="es-PA"/>
        </w:rPr>
        <w:t xml:space="preserve">Anolis </w:t>
      </w:r>
      <w:proofErr w:type="spellStart"/>
      <w:r w:rsidR="00CE4EE2" w:rsidRPr="00CE4EE2">
        <w:rPr>
          <w:i/>
          <w:lang w:val="es-PA"/>
        </w:rPr>
        <w:t>limifrons</w:t>
      </w:r>
      <w:proofErr w:type="spellEnd"/>
      <w:r w:rsidR="00CE4EE2" w:rsidRPr="00CE4EE2">
        <w:rPr>
          <w:lang w:val="es-PA"/>
        </w:rPr>
        <w:t xml:space="preserve"> y </w:t>
      </w:r>
      <w:r w:rsidR="00CE4EE2" w:rsidRPr="00CE4EE2">
        <w:rPr>
          <w:i/>
          <w:lang w:val="es-PA"/>
        </w:rPr>
        <w:t xml:space="preserve">Anolis </w:t>
      </w:r>
      <w:proofErr w:type="spellStart"/>
      <w:r w:rsidR="00CE4EE2" w:rsidRPr="00CE4EE2">
        <w:rPr>
          <w:i/>
          <w:lang w:val="es-PA"/>
        </w:rPr>
        <w:lastRenderedPageBreak/>
        <w:t>polylepis</w:t>
      </w:r>
      <w:proofErr w:type="spellEnd"/>
      <w:r w:rsidR="00CE4EE2">
        <w:rPr>
          <w:lang w:val="es-PA"/>
        </w:rPr>
        <w:t xml:space="preserve">, y algunas aves como: </w:t>
      </w:r>
      <w:r w:rsidR="00CE4EE2" w:rsidRPr="00CE4EE2">
        <w:rPr>
          <w:lang w:val="es-PA"/>
        </w:rPr>
        <w:t>Tangara Azuleja</w:t>
      </w:r>
      <w:r w:rsidR="00CE4EE2">
        <w:rPr>
          <w:lang w:val="es-PA"/>
        </w:rPr>
        <w:t xml:space="preserve"> (</w:t>
      </w:r>
      <w:proofErr w:type="spellStart"/>
      <w:r w:rsidR="00CE4EE2" w:rsidRPr="00CE4EE2">
        <w:rPr>
          <w:i/>
        </w:rPr>
        <w:t>Thraupis</w:t>
      </w:r>
      <w:proofErr w:type="spellEnd"/>
      <w:r w:rsidR="00CE4EE2" w:rsidRPr="00CE4EE2">
        <w:rPr>
          <w:i/>
        </w:rPr>
        <w:t xml:space="preserve"> </w:t>
      </w:r>
      <w:proofErr w:type="spellStart"/>
      <w:r w:rsidR="00CE4EE2" w:rsidRPr="00CE4EE2">
        <w:rPr>
          <w:i/>
        </w:rPr>
        <w:t>episcopus</w:t>
      </w:r>
      <w:proofErr w:type="spellEnd"/>
      <w:r w:rsidR="00CE4EE2">
        <w:t xml:space="preserve">), Tangara </w:t>
      </w:r>
      <w:proofErr w:type="spellStart"/>
      <w:r w:rsidR="00CE4EE2">
        <w:t>Dorsirroja</w:t>
      </w:r>
      <w:proofErr w:type="spellEnd"/>
      <w:r w:rsidR="00CE4EE2">
        <w:t xml:space="preserve"> (</w:t>
      </w:r>
      <w:proofErr w:type="spellStart"/>
      <w:r w:rsidR="00CE4EE2" w:rsidRPr="00CE4EE2">
        <w:rPr>
          <w:i/>
        </w:rPr>
        <w:t>Ramphocelus</w:t>
      </w:r>
      <w:proofErr w:type="spellEnd"/>
      <w:r w:rsidR="00CE4EE2" w:rsidRPr="00CE4EE2">
        <w:rPr>
          <w:i/>
        </w:rPr>
        <w:t xml:space="preserve"> </w:t>
      </w:r>
      <w:proofErr w:type="spellStart"/>
      <w:r w:rsidR="00CE4EE2" w:rsidRPr="00CE4EE2">
        <w:rPr>
          <w:i/>
        </w:rPr>
        <w:t>dimidiatus</w:t>
      </w:r>
      <w:proofErr w:type="spellEnd"/>
      <w:r w:rsidR="00CE4EE2">
        <w:t>), entre otras. (Ver cuadro No. 11 del EsIA)</w:t>
      </w:r>
    </w:p>
    <w:p w:rsidR="000479C6" w:rsidRPr="007D5020" w:rsidRDefault="000479C6" w:rsidP="000479C6">
      <w:pPr>
        <w:autoSpaceDE w:val="0"/>
        <w:autoSpaceDN w:val="0"/>
        <w:adjustRightInd w:val="0"/>
        <w:jc w:val="both"/>
        <w:rPr>
          <w:b/>
        </w:rPr>
      </w:pPr>
    </w:p>
    <w:p w:rsidR="000479C6" w:rsidRPr="007D5020" w:rsidRDefault="000479C6" w:rsidP="000479C6">
      <w:pPr>
        <w:autoSpaceDE w:val="0"/>
        <w:autoSpaceDN w:val="0"/>
        <w:adjustRightInd w:val="0"/>
        <w:jc w:val="both"/>
        <w:rPr>
          <w:b/>
        </w:rPr>
      </w:pPr>
    </w:p>
    <w:p w:rsidR="000479C6" w:rsidRPr="007D5020" w:rsidRDefault="000479C6" w:rsidP="000479C6">
      <w:pPr>
        <w:autoSpaceDE w:val="0"/>
        <w:autoSpaceDN w:val="0"/>
        <w:adjustRightInd w:val="0"/>
        <w:jc w:val="both"/>
        <w:rPr>
          <w:b/>
        </w:rPr>
      </w:pPr>
      <w:r w:rsidRPr="007D5020">
        <w:rPr>
          <w:b/>
        </w:rPr>
        <w:t xml:space="preserve">Componente Socioeconómico: </w:t>
      </w:r>
    </w:p>
    <w:p w:rsidR="000479C6" w:rsidRPr="007D5020" w:rsidRDefault="000479C6" w:rsidP="000479C6">
      <w:pPr>
        <w:pStyle w:val="Default"/>
        <w:jc w:val="both"/>
        <w:rPr>
          <w:rFonts w:ascii="Times New Roman" w:hAnsi="Times New Roman" w:cs="Times New Roman"/>
        </w:rPr>
      </w:pPr>
      <w:r w:rsidRPr="007D5020">
        <w:rPr>
          <w:rFonts w:ascii="Times New Roman" w:hAnsi="Times New Roman" w:cs="Times New Roman"/>
        </w:rPr>
        <w:t xml:space="preserve"> </w:t>
      </w:r>
    </w:p>
    <w:p w:rsidR="000479C6" w:rsidRPr="007D5020" w:rsidRDefault="000479C6" w:rsidP="000479C6">
      <w:pPr>
        <w:pStyle w:val="Default"/>
        <w:jc w:val="both"/>
        <w:rPr>
          <w:rFonts w:ascii="Times New Roman" w:hAnsi="Times New Roman" w:cs="Times New Roman"/>
        </w:rPr>
      </w:pPr>
      <w:r w:rsidRPr="007D5020">
        <w:rPr>
          <w:rFonts w:ascii="Times New Roman" w:hAnsi="Times New Roman" w:cs="Times New Roman"/>
        </w:rPr>
        <w:t>En el EsIA, se indica que la metodología utilizada para lograr la reacción ciudadana, con respecto al desarrollo del proyecto fueron las encuest</w:t>
      </w:r>
      <w:r w:rsidR="00CE4EE2">
        <w:rPr>
          <w:rFonts w:ascii="Times New Roman" w:hAnsi="Times New Roman" w:cs="Times New Roman"/>
        </w:rPr>
        <w:t>as, aplicando 24</w:t>
      </w:r>
      <w:r w:rsidRPr="007D5020">
        <w:rPr>
          <w:rFonts w:ascii="Times New Roman" w:hAnsi="Times New Roman" w:cs="Times New Roman"/>
        </w:rPr>
        <w:t xml:space="preserve"> encuestas,</w:t>
      </w:r>
      <w:r w:rsidR="00CE4EE2">
        <w:rPr>
          <w:rFonts w:ascii="Times New Roman" w:hAnsi="Times New Roman" w:cs="Times New Roman"/>
        </w:rPr>
        <w:t xml:space="preserve"> el día 26</w:t>
      </w:r>
      <w:r w:rsidRPr="007D5020">
        <w:rPr>
          <w:rFonts w:ascii="Times New Roman" w:hAnsi="Times New Roman" w:cs="Times New Roman"/>
        </w:rPr>
        <w:t xml:space="preserve"> de </w:t>
      </w:r>
      <w:r w:rsidRPr="007D5020">
        <w:rPr>
          <w:rFonts w:ascii="Times New Roman" w:hAnsi="Times New Roman" w:cs="Times New Roman"/>
          <w:lang w:val="es-PA"/>
        </w:rPr>
        <w:t>marzo</w:t>
      </w:r>
      <w:r w:rsidRPr="007D5020">
        <w:rPr>
          <w:rFonts w:ascii="Times New Roman" w:hAnsi="Times New Roman" w:cs="Times New Roman"/>
        </w:rPr>
        <w:t xml:space="preserve"> de 2019, dando como resultado lo siguiente:</w:t>
      </w:r>
    </w:p>
    <w:p w:rsidR="000479C6" w:rsidRPr="007D5020" w:rsidRDefault="000479C6" w:rsidP="000479C6">
      <w:pPr>
        <w:pStyle w:val="Default"/>
        <w:jc w:val="both"/>
        <w:rPr>
          <w:rFonts w:ascii="Times New Roman" w:hAnsi="Times New Roman" w:cs="Times New Roman"/>
        </w:rPr>
      </w:pPr>
    </w:p>
    <w:p w:rsidR="000479C6" w:rsidRPr="007D5020" w:rsidRDefault="000479C6" w:rsidP="000479C6">
      <w:pPr>
        <w:pStyle w:val="Prrafodelista"/>
        <w:jc w:val="both"/>
        <w:rPr>
          <w:color w:val="000000"/>
          <w:lang w:val="es-PA"/>
        </w:rPr>
      </w:pPr>
      <w:r w:rsidRPr="007D5020">
        <w:rPr>
          <w:color w:val="000000"/>
          <w:lang w:val="es-PA"/>
        </w:rPr>
        <w:t xml:space="preserve">• </w:t>
      </w:r>
      <w:r w:rsidR="00CE4EE2" w:rsidRPr="00CE4EE2">
        <w:rPr>
          <w:color w:val="000000"/>
        </w:rPr>
        <w:t>El 96% de los encuestadores respondieron que no presentarían afectación a ellos ni a su propiedad, por el desarrollo del proyecto, mientras que el 4% no opino al respecto</w:t>
      </w:r>
      <w:r w:rsidRPr="007D5020">
        <w:rPr>
          <w:color w:val="000000"/>
          <w:lang w:val="es-PA"/>
        </w:rPr>
        <w:t>.</w:t>
      </w:r>
    </w:p>
    <w:p w:rsidR="00CE4EE2" w:rsidRDefault="000479C6" w:rsidP="000479C6">
      <w:pPr>
        <w:pStyle w:val="Prrafodelista"/>
        <w:jc w:val="both"/>
        <w:rPr>
          <w:color w:val="000000"/>
        </w:rPr>
      </w:pPr>
      <w:r w:rsidRPr="007D5020">
        <w:rPr>
          <w:color w:val="000000"/>
          <w:lang w:val="es-PA"/>
        </w:rPr>
        <w:t xml:space="preserve">• </w:t>
      </w:r>
      <w:r w:rsidR="00CE4EE2" w:rsidRPr="00CE4EE2">
        <w:rPr>
          <w:color w:val="000000"/>
        </w:rPr>
        <w:t xml:space="preserve">El 58% considera que el medio ambiente del área donde se ejecutará el proyecto no se verá afectado, mientras que el 29% considera que sí y un 13% no opino al respecto. </w:t>
      </w:r>
    </w:p>
    <w:p w:rsidR="000479C6" w:rsidRPr="007D5020" w:rsidRDefault="000479C6" w:rsidP="000479C6">
      <w:pPr>
        <w:pStyle w:val="Prrafodelista"/>
        <w:jc w:val="both"/>
        <w:rPr>
          <w:color w:val="000000"/>
          <w:lang w:val="es-PA"/>
        </w:rPr>
      </w:pPr>
      <w:r w:rsidRPr="007D5020">
        <w:rPr>
          <w:color w:val="000000"/>
          <w:lang w:val="es-PA"/>
        </w:rPr>
        <w:t>• El 100 % (20) viven en el corregimiento del área del proyecto, Progreso.</w:t>
      </w:r>
    </w:p>
    <w:p w:rsidR="00CE4EE2" w:rsidRDefault="000479C6" w:rsidP="000479C6">
      <w:pPr>
        <w:pStyle w:val="Prrafodelista"/>
        <w:jc w:val="both"/>
        <w:rPr>
          <w:color w:val="000000"/>
        </w:rPr>
      </w:pPr>
      <w:r w:rsidRPr="007D5020">
        <w:rPr>
          <w:color w:val="000000"/>
          <w:lang w:val="es-PA"/>
        </w:rPr>
        <w:t xml:space="preserve">• </w:t>
      </w:r>
      <w:r w:rsidR="00CE4EE2" w:rsidRPr="00CE4EE2">
        <w:rPr>
          <w:color w:val="000000"/>
        </w:rPr>
        <w:t xml:space="preserve">El 100% de la población entrevistada considero que el desarrollo del proyecto no afectará a la comunidad. </w:t>
      </w:r>
    </w:p>
    <w:p w:rsidR="000479C6" w:rsidRPr="007D5020" w:rsidRDefault="000479C6" w:rsidP="000479C6">
      <w:pPr>
        <w:pStyle w:val="Prrafodelista"/>
        <w:jc w:val="both"/>
        <w:rPr>
          <w:color w:val="000000"/>
          <w:lang w:val="es-PA"/>
        </w:rPr>
      </w:pPr>
      <w:r w:rsidRPr="007D5020">
        <w:rPr>
          <w:color w:val="000000"/>
          <w:lang w:val="es-PA"/>
        </w:rPr>
        <w:t xml:space="preserve">• </w:t>
      </w:r>
      <w:r w:rsidR="00CE4EE2" w:rsidRPr="00CE4EE2">
        <w:rPr>
          <w:color w:val="000000"/>
        </w:rPr>
        <w:t>El 100% de la población entrevistada respondió estar de acuerdo con que se lleve a cabo el proyecto denominado Extracción de Mineral No Metálico Grava Continental Bajo de Chiriquí</w:t>
      </w:r>
      <w:r w:rsidRPr="007D5020">
        <w:rPr>
          <w:color w:val="000000"/>
          <w:lang w:val="es-PA"/>
        </w:rPr>
        <w:t>.</w:t>
      </w:r>
    </w:p>
    <w:p w:rsidR="000479C6" w:rsidRPr="007D5020" w:rsidRDefault="000479C6" w:rsidP="000479C6">
      <w:pPr>
        <w:jc w:val="both"/>
        <w:rPr>
          <w:rFonts w:eastAsia="SimSun"/>
          <w:color w:val="000000"/>
          <w:shd w:val="clear" w:color="auto" w:fill="FFFFFF"/>
        </w:rPr>
      </w:pPr>
    </w:p>
    <w:p w:rsidR="000479C6" w:rsidRPr="007D5020" w:rsidRDefault="000479C6" w:rsidP="000479C6">
      <w:pPr>
        <w:tabs>
          <w:tab w:val="left" w:pos="0"/>
        </w:tabs>
        <w:suppressAutoHyphens/>
        <w:ind w:right="11"/>
        <w:jc w:val="both"/>
        <w:rPr>
          <w:rFonts w:eastAsia="SimSun"/>
          <w:color w:val="000000"/>
          <w:shd w:val="clear" w:color="auto" w:fill="FFFFFF"/>
        </w:rPr>
      </w:pPr>
      <w:r w:rsidRPr="007D5020">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479C6" w:rsidRPr="007D5020" w:rsidRDefault="000479C6" w:rsidP="000479C6">
      <w:pPr>
        <w:tabs>
          <w:tab w:val="left" w:pos="0"/>
        </w:tabs>
        <w:suppressAutoHyphens/>
        <w:ind w:right="11"/>
        <w:jc w:val="both"/>
        <w:rPr>
          <w:spacing w:val="-3"/>
        </w:rPr>
      </w:pPr>
    </w:p>
    <w:p w:rsidR="000479C6" w:rsidRPr="007D5020" w:rsidRDefault="000479C6" w:rsidP="000479C6">
      <w:pPr>
        <w:tabs>
          <w:tab w:val="left" w:pos="0"/>
        </w:tabs>
        <w:suppressAutoHyphens/>
        <w:ind w:right="11"/>
        <w:jc w:val="both"/>
        <w:rPr>
          <w:spacing w:val="-3"/>
        </w:rPr>
      </w:pPr>
      <w:r w:rsidRPr="007D5020">
        <w:rPr>
          <w:spacing w:val="-3"/>
        </w:rPr>
        <w:t>En adición a las normativas aplicables</w:t>
      </w:r>
      <w:r w:rsidR="005A2BBA">
        <w:rPr>
          <w:spacing w:val="-3"/>
        </w:rPr>
        <w:t xml:space="preserve"> al proyecto (páginas 19 y 20</w:t>
      </w:r>
      <w:r w:rsidRPr="007D5020">
        <w:rPr>
          <w:spacing w:val="-3"/>
        </w:rPr>
        <w:t xml:space="preserve"> del EsIA) y los compromisos contemplados en el mismo y el promotor tendrá que:</w:t>
      </w:r>
    </w:p>
    <w:p w:rsidR="000479C6" w:rsidRPr="007D5020" w:rsidRDefault="000479C6" w:rsidP="000479C6">
      <w:pPr>
        <w:tabs>
          <w:tab w:val="left" w:pos="0"/>
        </w:tabs>
        <w:suppressAutoHyphens/>
        <w:ind w:right="11"/>
        <w:jc w:val="both"/>
        <w:rPr>
          <w:spacing w:val="-3"/>
        </w:rPr>
      </w:pPr>
      <w:r w:rsidRPr="007D5020">
        <w:rPr>
          <w:spacing w:val="-3"/>
        </w:rPr>
        <w:t xml:space="preserve">  </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 xml:space="preserve">Colocar, dentro del área del  Proyecto y antes de iniciar su ejecución, un letrero en un  lugar visible con el contenido establecido en formato adjunto. </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Notificar a la Dirección Regional de Chiriquí, de darse la presencia de alguna especie de fauna, la reubicación realizada de la misma, al costo del promotor e incluir dichos resultados en el correspondiente Informe de Seguimiento.</w:t>
      </w:r>
    </w:p>
    <w:p w:rsidR="000479C6" w:rsidRPr="007D5020" w:rsidRDefault="000479C6" w:rsidP="000479C6">
      <w:pPr>
        <w:numPr>
          <w:ilvl w:val="0"/>
          <w:numId w:val="2"/>
        </w:numPr>
        <w:tabs>
          <w:tab w:val="left" w:pos="0"/>
        </w:tabs>
        <w:suppressAutoHyphens/>
        <w:ind w:right="11"/>
        <w:jc w:val="both"/>
        <w:rPr>
          <w:spacing w:val="-3"/>
          <w:lang w:val="es-PA"/>
        </w:rPr>
      </w:pPr>
      <w:r w:rsidRPr="007D5020">
        <w:rPr>
          <w:spacing w:val="-3"/>
          <w:lang w:val="es-PA"/>
        </w:rPr>
        <w:t>Presentar cada  cuatro (4) meses durante la etapa de construcció</w:t>
      </w:r>
      <w:r w:rsidR="005A2BBA">
        <w:rPr>
          <w:spacing w:val="-3"/>
          <w:lang w:val="es-PA"/>
        </w:rPr>
        <w:t>n</w:t>
      </w:r>
      <w:r w:rsidRPr="007D5020">
        <w:rPr>
          <w:spacing w:val="-3"/>
          <w:lang w:val="es-PA"/>
        </w:rPr>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r w:rsidR="005A2BBA">
        <w:rPr>
          <w:spacing w:val="-3"/>
          <w:lang w:val="es-PA"/>
        </w:rPr>
        <w:t>, al momento que el proyecto llegue a su fase final el promotor deberá presentar un (1) informe de cierre de actividades</w:t>
      </w:r>
      <w:r w:rsidRPr="007D5020">
        <w:rPr>
          <w:spacing w:val="-3"/>
          <w:lang w:val="es-PA"/>
        </w:rPr>
        <w:t xml:space="preserve">. </w:t>
      </w:r>
    </w:p>
    <w:p w:rsidR="000479C6" w:rsidRPr="007D5020" w:rsidRDefault="000479C6" w:rsidP="000479C6">
      <w:pPr>
        <w:numPr>
          <w:ilvl w:val="0"/>
          <w:numId w:val="2"/>
        </w:numPr>
        <w:tabs>
          <w:tab w:val="left" w:pos="0"/>
        </w:tabs>
        <w:suppressAutoHyphens/>
        <w:ind w:right="11"/>
        <w:jc w:val="both"/>
        <w:rPr>
          <w:spacing w:val="-3"/>
          <w:lang w:val="es-PA"/>
        </w:rPr>
      </w:pPr>
      <w:r w:rsidRPr="007D5020">
        <w:rPr>
          <w:spacing w:val="-3"/>
        </w:rPr>
        <w:t xml:space="preserve">Disponer en sitios autorizados </w:t>
      </w:r>
      <w:r w:rsidR="00A7676F">
        <w:rPr>
          <w:spacing w:val="-3"/>
        </w:rPr>
        <w:t>los desechos sólidos, líquidos</w:t>
      </w:r>
      <w:r w:rsidRPr="007D5020">
        <w:rPr>
          <w:spacing w:val="-3"/>
        </w:rPr>
        <w:t xml:space="preserve">  generados durante la etapa de construcción y operación.</w:t>
      </w:r>
    </w:p>
    <w:p w:rsidR="000479C6" w:rsidRPr="007D5020" w:rsidRDefault="000479C6" w:rsidP="000479C6">
      <w:pPr>
        <w:numPr>
          <w:ilvl w:val="0"/>
          <w:numId w:val="2"/>
        </w:numPr>
        <w:tabs>
          <w:tab w:val="left" w:pos="0"/>
        </w:tabs>
        <w:suppressAutoHyphens/>
        <w:ind w:right="11"/>
        <w:jc w:val="both"/>
        <w:rPr>
          <w:spacing w:val="-3"/>
          <w:lang w:val="es-PA"/>
        </w:rPr>
      </w:pPr>
      <w:r w:rsidRPr="007D5020">
        <w:rPr>
          <w:iCs/>
          <w:spacing w:val="-3"/>
          <w:lang w:val="es-PA"/>
        </w:rPr>
        <w:t>Reportar de inmediato al Instituto Nacional de Cultura, INAC, el hallazgo de cualquier objeto de valor histórico o arqueológico para realizar el respectivo rescate.</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0479C6" w:rsidRDefault="000479C6" w:rsidP="000479C6">
      <w:pPr>
        <w:numPr>
          <w:ilvl w:val="0"/>
          <w:numId w:val="2"/>
        </w:numPr>
        <w:tabs>
          <w:tab w:val="left" w:pos="0"/>
        </w:tabs>
        <w:suppressAutoHyphens/>
        <w:ind w:right="11"/>
        <w:jc w:val="both"/>
        <w:rPr>
          <w:spacing w:val="-3"/>
        </w:rPr>
      </w:pPr>
      <w:r w:rsidRPr="007D5020">
        <w:rPr>
          <w:spacing w:val="-3"/>
        </w:rPr>
        <w:t xml:space="preserve">Cumplir con el reglamento DGNTI-COPANIT-44-2000 “Higiene y seguridad en ambientes de trabajo donde se generen ruidos”. </w:t>
      </w:r>
    </w:p>
    <w:p w:rsidR="00216AAE" w:rsidRPr="00216AAE" w:rsidRDefault="00216AAE" w:rsidP="00216AAE">
      <w:pPr>
        <w:pStyle w:val="Prrafodelista"/>
        <w:numPr>
          <w:ilvl w:val="0"/>
          <w:numId w:val="2"/>
        </w:numPr>
        <w:rPr>
          <w:spacing w:val="-3"/>
        </w:rPr>
      </w:pPr>
      <w:r w:rsidRPr="00216AAE">
        <w:rPr>
          <w:spacing w:val="-3"/>
        </w:rPr>
        <w:t>Cumplir con la Ley N° 6, de 11 de enero de 2007. “Manejo de residuos aceitosos derivados de hidrocarburos o de base sintética en el territorio nacional”.</w:t>
      </w:r>
    </w:p>
    <w:p w:rsidR="00216AAE" w:rsidRPr="002D4FC3" w:rsidRDefault="002D4FC3" w:rsidP="002D4FC3">
      <w:pPr>
        <w:pStyle w:val="Prrafodelista"/>
        <w:numPr>
          <w:ilvl w:val="0"/>
          <w:numId w:val="2"/>
        </w:numPr>
        <w:rPr>
          <w:spacing w:val="-3"/>
        </w:rPr>
      </w:pPr>
      <w:r w:rsidRPr="002D4FC3">
        <w:rPr>
          <w:spacing w:val="-3"/>
        </w:rPr>
        <w:t xml:space="preserve">Reglamento Técnico DGNTI–COPANIT-45-2000 Vibraciones en ambientes de trabajo. </w:t>
      </w:r>
    </w:p>
    <w:p w:rsidR="000479C6" w:rsidRPr="002D4FC3" w:rsidRDefault="000479C6" w:rsidP="000479C6">
      <w:pPr>
        <w:numPr>
          <w:ilvl w:val="0"/>
          <w:numId w:val="2"/>
        </w:numPr>
        <w:tabs>
          <w:tab w:val="left" w:pos="0"/>
        </w:tabs>
        <w:suppressAutoHyphens/>
        <w:ind w:right="11"/>
        <w:jc w:val="both"/>
        <w:rPr>
          <w:spacing w:val="-3"/>
        </w:rPr>
      </w:pPr>
      <w:r w:rsidRPr="007D5020">
        <w:rPr>
          <w:spacing w:val="-3"/>
          <w:lang w:val="es-PA"/>
        </w:rPr>
        <w:t>Cumplir con el Decreto Ejecutivo No. 2 de 14 de enero de 2009, “Por el cual se establece la Norma Ambiental de Calidad de Suelos para diversos usos”.</w:t>
      </w:r>
    </w:p>
    <w:p w:rsidR="002D4FC3" w:rsidRPr="007D5020" w:rsidRDefault="002D4FC3" w:rsidP="000479C6">
      <w:pPr>
        <w:numPr>
          <w:ilvl w:val="0"/>
          <w:numId w:val="2"/>
        </w:numPr>
        <w:tabs>
          <w:tab w:val="left" w:pos="0"/>
        </w:tabs>
        <w:suppressAutoHyphens/>
        <w:ind w:right="11"/>
        <w:jc w:val="both"/>
        <w:rPr>
          <w:spacing w:val="-3"/>
        </w:rPr>
      </w:pPr>
      <w:r>
        <w:rPr>
          <w:spacing w:val="-3"/>
          <w:lang w:val="es-PA"/>
        </w:rPr>
        <w:t xml:space="preserve">El promotor deberá implementar las medidas necesarias para evitar </w:t>
      </w:r>
      <w:r w:rsidR="00F9327C">
        <w:rPr>
          <w:spacing w:val="-3"/>
          <w:lang w:val="es-PA"/>
        </w:rPr>
        <w:t>erosión</w:t>
      </w:r>
      <w:r>
        <w:rPr>
          <w:spacing w:val="-3"/>
          <w:lang w:val="es-PA"/>
        </w:rPr>
        <w:t xml:space="preserve"> y la sedimentación de</w:t>
      </w:r>
      <w:r w:rsidR="00F9327C">
        <w:rPr>
          <w:spacing w:val="-3"/>
          <w:lang w:val="es-PA"/>
        </w:rPr>
        <w:t xml:space="preserve"> los cuerpos de agua más cercanos.</w:t>
      </w:r>
    </w:p>
    <w:p w:rsidR="000479C6" w:rsidRPr="007D5020" w:rsidRDefault="000479C6" w:rsidP="000479C6">
      <w:pPr>
        <w:numPr>
          <w:ilvl w:val="0"/>
          <w:numId w:val="2"/>
        </w:numPr>
        <w:tabs>
          <w:tab w:val="left" w:pos="0"/>
        </w:tabs>
        <w:suppressAutoHyphens/>
        <w:ind w:right="11"/>
        <w:jc w:val="both"/>
        <w:rPr>
          <w:spacing w:val="-3"/>
        </w:rPr>
      </w:pPr>
      <w:r w:rsidRPr="007D5020">
        <w:rPr>
          <w:spacing w:val="-3"/>
          <w:lang w:val="es-PA"/>
        </w:rPr>
        <w:lastRenderedPageBreak/>
        <w:t>El promotor deberá velar por que se cumplan las leyes de la Autoridad de Tránsito y Transporte Terrestre (ATTT) para el transporte de material y la velocidad permitida en poblados y centros educativos.</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0479C6" w:rsidRPr="00216AAE" w:rsidRDefault="000479C6" w:rsidP="00216AAE">
      <w:pPr>
        <w:numPr>
          <w:ilvl w:val="0"/>
          <w:numId w:val="2"/>
        </w:numPr>
        <w:tabs>
          <w:tab w:val="left" w:pos="0"/>
        </w:tabs>
        <w:suppressAutoHyphens/>
        <w:ind w:right="11"/>
        <w:jc w:val="both"/>
        <w:rPr>
          <w:spacing w:val="-3"/>
        </w:rPr>
      </w:pPr>
      <w:r w:rsidRPr="007D5020">
        <w:rPr>
          <w:spacing w:val="-3"/>
        </w:rPr>
        <w:t>Mantener informada a la comunidad de los trabajos a ejecutar, señalizar el área de manera continua hasta la culminación de los trabajos, con letreros informativos y preventivos, con la finalidad de evitar accidentes.</w:t>
      </w:r>
    </w:p>
    <w:p w:rsidR="000479C6" w:rsidRPr="007D5020" w:rsidRDefault="000479C6" w:rsidP="000479C6">
      <w:pPr>
        <w:numPr>
          <w:ilvl w:val="0"/>
          <w:numId w:val="2"/>
        </w:numPr>
        <w:tabs>
          <w:tab w:val="left" w:pos="0"/>
        </w:tabs>
        <w:suppressAutoHyphens/>
        <w:ind w:right="11"/>
        <w:jc w:val="both"/>
        <w:rPr>
          <w:spacing w:val="-3"/>
        </w:rPr>
      </w:pPr>
      <w:r w:rsidRPr="007D5020">
        <w:rPr>
          <w:spacing w:val="-3"/>
        </w:rPr>
        <w:t>Tomar las medidas necesarias para evitar partículas en suspensión en época seca.</w:t>
      </w:r>
      <w:r w:rsidRPr="007D5020">
        <w:rPr>
          <w:spacing w:val="-3"/>
          <w:lang w:val="es-PA"/>
        </w:rPr>
        <w:t xml:space="preserve"> </w:t>
      </w:r>
    </w:p>
    <w:p w:rsidR="000479C6" w:rsidRPr="007D5020" w:rsidRDefault="000479C6" w:rsidP="000479C6">
      <w:pPr>
        <w:numPr>
          <w:ilvl w:val="0"/>
          <w:numId w:val="2"/>
        </w:numPr>
        <w:tabs>
          <w:tab w:val="left" w:pos="0"/>
        </w:tabs>
        <w:suppressAutoHyphens/>
        <w:ind w:right="11"/>
        <w:jc w:val="both"/>
        <w:rPr>
          <w:spacing w:val="-3"/>
        </w:rPr>
      </w:pPr>
      <w:r w:rsidRPr="007D5020">
        <w:rPr>
          <w:spacing w:val="-3"/>
          <w:lang w:val="es-PA"/>
        </w:rPr>
        <w:t>Cumplir con el Decreto Ejecutivo N° 306 de 4 de septiembre de 2002. “Control de ruidos en espacios públicos, áreas residenciales o de habitación, así como en ambientes laborales”.</w:t>
      </w:r>
    </w:p>
    <w:p w:rsidR="000479C6" w:rsidRPr="007D5020" w:rsidRDefault="000479C6" w:rsidP="000479C6">
      <w:pPr>
        <w:numPr>
          <w:ilvl w:val="0"/>
          <w:numId w:val="2"/>
        </w:numPr>
        <w:tabs>
          <w:tab w:val="left" w:pos="0"/>
        </w:tabs>
        <w:suppressAutoHyphens/>
        <w:ind w:right="11"/>
        <w:jc w:val="both"/>
        <w:rPr>
          <w:spacing w:val="-3"/>
        </w:rPr>
      </w:pPr>
      <w:r w:rsidRPr="007D5020">
        <w:rPr>
          <w:spacing w:val="-3"/>
          <w:lang w:val="es-ES_tradnl"/>
        </w:rPr>
        <w:t>Coordinar antes de inicio de la obra, con la autoridad competente, todo lo concerniente al transporte  de equipo hacia y desde los terrenos donde se realizará el proyecto, velando por el cuidado de las calles de acceso.</w:t>
      </w:r>
    </w:p>
    <w:p w:rsidR="000479C6" w:rsidRDefault="000479C6" w:rsidP="000479C6">
      <w:pPr>
        <w:numPr>
          <w:ilvl w:val="0"/>
          <w:numId w:val="2"/>
        </w:numPr>
        <w:tabs>
          <w:tab w:val="left" w:pos="0"/>
        </w:tabs>
        <w:suppressAutoHyphens/>
        <w:ind w:right="11"/>
        <w:jc w:val="both"/>
        <w:rPr>
          <w:spacing w:val="-3"/>
        </w:rPr>
      </w:pPr>
      <w:r w:rsidRPr="007D5020">
        <w:rPr>
          <w:spacing w:val="-3"/>
        </w:rPr>
        <w:t>Cualquier conflicto que se presente, en lo que respecta a la población afectada por el desarrollo del proyecto, el promotor actuará siempre mostrando su mejor disposición a conciliar con las partes actuando de buena fe.</w:t>
      </w:r>
    </w:p>
    <w:p w:rsidR="0058368D" w:rsidRPr="007D5020" w:rsidRDefault="0058368D" w:rsidP="0058368D">
      <w:pPr>
        <w:tabs>
          <w:tab w:val="left" w:pos="0"/>
        </w:tabs>
        <w:suppressAutoHyphens/>
        <w:ind w:left="720" w:right="11"/>
        <w:jc w:val="both"/>
        <w:rPr>
          <w:spacing w:val="-3"/>
        </w:rPr>
      </w:pPr>
    </w:p>
    <w:p w:rsidR="000479C6" w:rsidRPr="007D5020" w:rsidRDefault="000479C6" w:rsidP="000479C6">
      <w:pPr>
        <w:tabs>
          <w:tab w:val="left" w:pos="0"/>
        </w:tabs>
        <w:suppressAutoHyphens/>
        <w:ind w:right="11"/>
        <w:jc w:val="both"/>
        <w:rPr>
          <w:highlight w:val="yellow"/>
        </w:rPr>
      </w:pPr>
    </w:p>
    <w:p w:rsidR="000479C6" w:rsidRPr="007D5020" w:rsidRDefault="000479C6" w:rsidP="000479C6">
      <w:pPr>
        <w:numPr>
          <w:ilvl w:val="0"/>
          <w:numId w:val="1"/>
        </w:numPr>
        <w:tabs>
          <w:tab w:val="left" w:pos="-1890"/>
        </w:tabs>
        <w:autoSpaceDE w:val="0"/>
        <w:autoSpaceDN w:val="0"/>
        <w:adjustRightInd w:val="0"/>
        <w:ind w:left="360"/>
        <w:jc w:val="both"/>
        <w:rPr>
          <w:b/>
        </w:rPr>
      </w:pPr>
      <w:r w:rsidRPr="007D5020">
        <w:rPr>
          <w:b/>
        </w:rPr>
        <w:t>CONCLUSIONES</w:t>
      </w:r>
    </w:p>
    <w:p w:rsidR="000479C6" w:rsidRPr="007D5020" w:rsidRDefault="000479C6" w:rsidP="000479C6">
      <w:pPr>
        <w:tabs>
          <w:tab w:val="left" w:pos="-1890"/>
        </w:tabs>
        <w:autoSpaceDE w:val="0"/>
        <w:autoSpaceDN w:val="0"/>
        <w:adjustRightInd w:val="0"/>
        <w:ind w:left="360"/>
        <w:jc w:val="both"/>
        <w:rPr>
          <w:b/>
        </w:rPr>
      </w:pPr>
    </w:p>
    <w:p w:rsidR="000479C6" w:rsidRPr="007D5020" w:rsidRDefault="000479C6" w:rsidP="000479C6">
      <w:pPr>
        <w:spacing w:beforeLines="20" w:before="48" w:afterLines="20" w:after="48"/>
        <w:jc w:val="both"/>
        <w:rPr>
          <w:color w:val="000000"/>
        </w:rPr>
      </w:pPr>
      <w:r w:rsidRPr="007D5020">
        <w:rPr>
          <w:color w:val="000000"/>
        </w:rPr>
        <w:t>Una vez  revisado el Estudio de Impacto Ambiental y la Declaración Jurada adjunta, se concluye lo siguiente:</w:t>
      </w:r>
    </w:p>
    <w:p w:rsidR="000479C6" w:rsidRPr="007D5020" w:rsidRDefault="000479C6" w:rsidP="000479C6">
      <w:pPr>
        <w:numPr>
          <w:ilvl w:val="0"/>
          <w:numId w:val="3"/>
        </w:numPr>
        <w:shd w:val="clear" w:color="auto" w:fill="FFFFFF"/>
        <w:spacing w:beforeLines="20" w:before="48" w:afterLines="20" w:after="48"/>
        <w:jc w:val="both"/>
      </w:pPr>
      <w:r w:rsidRPr="007D5020">
        <w:t xml:space="preserve">El Estudio de Impacto Ambiental </w:t>
      </w:r>
      <w:r w:rsidRPr="007D5020">
        <w:rPr>
          <w:color w:val="000000"/>
        </w:rPr>
        <w:t xml:space="preserve">cumple con los requisitos mínimos establecidos en el </w:t>
      </w:r>
      <w:r w:rsidRPr="007D5020">
        <w:rPr>
          <w:bCs/>
        </w:rPr>
        <w:t xml:space="preserve">artículo 26 del </w:t>
      </w:r>
      <w:r w:rsidRPr="007D5020">
        <w:rPr>
          <w:color w:val="000000"/>
        </w:rPr>
        <w:t>Decreto Ejecutivo No.123 de 14 de agosto de 2009.</w:t>
      </w:r>
    </w:p>
    <w:p w:rsidR="000479C6" w:rsidRPr="007D5020" w:rsidRDefault="000479C6" w:rsidP="000479C6">
      <w:pPr>
        <w:numPr>
          <w:ilvl w:val="0"/>
          <w:numId w:val="3"/>
        </w:numPr>
        <w:tabs>
          <w:tab w:val="left" w:pos="0"/>
          <w:tab w:val="left" w:pos="720"/>
        </w:tabs>
        <w:suppressAutoHyphens/>
        <w:jc w:val="both"/>
      </w:pPr>
      <w:r w:rsidRPr="007D5020">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0479C6" w:rsidRPr="007D5020" w:rsidRDefault="000479C6" w:rsidP="000479C6">
      <w:pPr>
        <w:tabs>
          <w:tab w:val="left" w:pos="0"/>
          <w:tab w:val="left" w:pos="720"/>
        </w:tabs>
        <w:suppressAutoHyphens/>
        <w:jc w:val="both"/>
      </w:pPr>
    </w:p>
    <w:p w:rsidR="000479C6" w:rsidRPr="007D5020" w:rsidRDefault="000479C6" w:rsidP="000479C6">
      <w:pPr>
        <w:shd w:val="clear" w:color="auto" w:fill="FFFFFF"/>
        <w:autoSpaceDE w:val="0"/>
        <w:autoSpaceDN w:val="0"/>
        <w:adjustRightInd w:val="0"/>
        <w:jc w:val="both"/>
      </w:pPr>
    </w:p>
    <w:p w:rsidR="000479C6" w:rsidRPr="007D5020" w:rsidRDefault="000479C6" w:rsidP="000479C6">
      <w:pPr>
        <w:numPr>
          <w:ilvl w:val="0"/>
          <w:numId w:val="1"/>
        </w:numPr>
        <w:tabs>
          <w:tab w:val="left" w:pos="-1890"/>
        </w:tabs>
        <w:autoSpaceDE w:val="0"/>
        <w:autoSpaceDN w:val="0"/>
        <w:adjustRightInd w:val="0"/>
        <w:ind w:left="360"/>
        <w:jc w:val="both"/>
        <w:rPr>
          <w:b/>
        </w:rPr>
      </w:pPr>
      <w:r w:rsidRPr="007D5020">
        <w:rPr>
          <w:b/>
        </w:rPr>
        <w:t>RECOMENDACIONES</w:t>
      </w:r>
    </w:p>
    <w:p w:rsidR="000479C6" w:rsidRPr="007D5020" w:rsidRDefault="000479C6" w:rsidP="000479C6">
      <w:pPr>
        <w:tabs>
          <w:tab w:val="left" w:pos="-1890"/>
        </w:tabs>
        <w:autoSpaceDE w:val="0"/>
        <w:autoSpaceDN w:val="0"/>
        <w:adjustRightInd w:val="0"/>
        <w:ind w:left="360"/>
        <w:jc w:val="both"/>
        <w:rPr>
          <w:b/>
        </w:rPr>
      </w:pPr>
    </w:p>
    <w:p w:rsidR="000479C6" w:rsidRPr="007D5020" w:rsidRDefault="000479C6" w:rsidP="000479C6">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7D5020">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0479C6" w:rsidRPr="007D5020" w:rsidRDefault="000479C6" w:rsidP="00F9327C">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7D5020">
        <w:rPr>
          <w:rFonts w:ascii="Times New Roman" w:hAnsi="Times New Roman"/>
          <w:color w:val="000000"/>
          <w:spacing w:val="-3"/>
          <w:sz w:val="24"/>
          <w:szCs w:val="24"/>
        </w:rPr>
        <w:t xml:space="preserve">Luego de la evaluación integral e interinstitucional, se recomienda </w:t>
      </w:r>
      <w:r w:rsidRPr="007D5020">
        <w:rPr>
          <w:rFonts w:ascii="Times New Roman" w:hAnsi="Times New Roman"/>
          <w:b/>
          <w:color w:val="000000"/>
          <w:spacing w:val="-3"/>
          <w:sz w:val="24"/>
          <w:szCs w:val="24"/>
        </w:rPr>
        <w:t>APROBAR</w:t>
      </w:r>
      <w:r w:rsidRPr="007D5020">
        <w:rPr>
          <w:rFonts w:ascii="Times New Roman" w:hAnsi="Times New Roman"/>
          <w:color w:val="000000"/>
          <w:spacing w:val="-3"/>
          <w:sz w:val="24"/>
          <w:szCs w:val="24"/>
        </w:rPr>
        <w:t xml:space="preserve"> el Estudio de Impacto Ambiental Categoría I, correspondiente al proyecto denominado </w:t>
      </w:r>
      <w:r w:rsidRPr="007D5020">
        <w:rPr>
          <w:rFonts w:ascii="Times New Roman" w:hAnsi="Times New Roman"/>
          <w:b/>
          <w:color w:val="000000"/>
          <w:spacing w:val="-3"/>
          <w:sz w:val="24"/>
          <w:szCs w:val="24"/>
        </w:rPr>
        <w:t>“</w:t>
      </w:r>
      <w:r w:rsidR="00F9327C" w:rsidRPr="00F9327C">
        <w:rPr>
          <w:rFonts w:ascii="Times New Roman" w:hAnsi="Times New Roman"/>
          <w:b/>
          <w:bCs/>
          <w:sz w:val="24"/>
          <w:szCs w:val="24"/>
          <w:lang w:val="es-ES"/>
        </w:rPr>
        <w:t>EXTRACCIÓN DE MINERAL NO METÁLICO GRAVA CONTINENTAL BAJOS DE CHIRIQUÍ</w:t>
      </w:r>
      <w:r w:rsidRPr="007D5020">
        <w:rPr>
          <w:rFonts w:ascii="Times New Roman" w:hAnsi="Times New Roman"/>
          <w:b/>
          <w:sz w:val="24"/>
          <w:szCs w:val="24"/>
        </w:rPr>
        <w:t>”.</w:t>
      </w:r>
    </w:p>
    <w:p w:rsidR="000479C6" w:rsidRPr="007D5020" w:rsidRDefault="000479C6" w:rsidP="000479C6">
      <w:pPr>
        <w:pStyle w:val="Prrafodelista1"/>
        <w:tabs>
          <w:tab w:val="left" w:pos="0"/>
        </w:tabs>
        <w:suppressAutoHyphens/>
        <w:spacing w:line="240" w:lineRule="auto"/>
        <w:ind w:right="102"/>
        <w:jc w:val="both"/>
        <w:rPr>
          <w:rFonts w:ascii="Times New Roman" w:hAnsi="Times New Roman"/>
          <w:sz w:val="24"/>
          <w:szCs w:val="24"/>
        </w:rPr>
      </w:pPr>
    </w:p>
    <w:p w:rsidR="000479C6" w:rsidRPr="007D5020" w:rsidRDefault="000479C6" w:rsidP="000479C6">
      <w:pPr>
        <w:jc w:val="both"/>
        <w:rPr>
          <w:rFonts w:eastAsia="MS Mincho"/>
          <w:b/>
          <w:color w:val="000000"/>
        </w:rPr>
      </w:pPr>
      <w:bookmarkStart w:id="0" w:name="_GoBack"/>
      <w:bookmarkEnd w:id="0"/>
    </w:p>
    <w:tbl>
      <w:tblPr>
        <w:tblW w:w="9331" w:type="dxa"/>
        <w:jc w:val="center"/>
        <w:tblLayout w:type="fixed"/>
        <w:tblLook w:val="04A0" w:firstRow="1" w:lastRow="0" w:firstColumn="1" w:lastColumn="0" w:noHBand="0" w:noVBand="1"/>
      </w:tblPr>
      <w:tblGrid>
        <w:gridCol w:w="108"/>
        <w:gridCol w:w="4257"/>
        <w:gridCol w:w="162"/>
        <w:gridCol w:w="4653"/>
        <w:gridCol w:w="151"/>
      </w:tblGrid>
      <w:tr w:rsidR="000479C6" w:rsidRPr="007D5020" w:rsidTr="001C4FA6">
        <w:trPr>
          <w:jc w:val="center"/>
        </w:trPr>
        <w:tc>
          <w:tcPr>
            <w:tcW w:w="4527" w:type="dxa"/>
            <w:gridSpan w:val="3"/>
            <w:shd w:val="clear" w:color="auto" w:fill="auto"/>
          </w:tcPr>
          <w:p w:rsidR="000479C6" w:rsidRPr="007D5020" w:rsidRDefault="000479C6" w:rsidP="001C4FA6">
            <w:pPr>
              <w:jc w:val="both"/>
              <w:rPr>
                <w:rFonts w:eastAsia="MS Mincho"/>
              </w:rPr>
            </w:pPr>
          </w:p>
        </w:tc>
        <w:tc>
          <w:tcPr>
            <w:tcW w:w="4804" w:type="dxa"/>
            <w:gridSpan w:val="2"/>
            <w:shd w:val="clear" w:color="auto" w:fill="auto"/>
          </w:tcPr>
          <w:p w:rsidR="000479C6" w:rsidRPr="007D5020" w:rsidRDefault="000479C6" w:rsidP="001C4FA6">
            <w:pPr>
              <w:tabs>
                <w:tab w:val="left" w:pos="708"/>
                <w:tab w:val="center" w:pos="4419"/>
                <w:tab w:val="right" w:pos="8838"/>
              </w:tabs>
              <w:jc w:val="both"/>
              <w:rPr>
                <w:rFonts w:eastAsia="MS Mincho"/>
              </w:rPr>
            </w:pPr>
          </w:p>
        </w:tc>
      </w:tr>
      <w:tr w:rsidR="000479C6" w:rsidRPr="007D5020" w:rsidTr="001C4FA6">
        <w:trPr>
          <w:gridBefore w:val="1"/>
          <w:gridAfter w:val="1"/>
          <w:wBefore w:w="108" w:type="dxa"/>
          <w:wAfter w:w="151" w:type="dxa"/>
          <w:jc w:val="center"/>
        </w:trPr>
        <w:tc>
          <w:tcPr>
            <w:tcW w:w="4257" w:type="dxa"/>
            <w:shd w:val="clear" w:color="auto" w:fill="auto"/>
          </w:tcPr>
          <w:p w:rsidR="000479C6" w:rsidRPr="007D5020" w:rsidRDefault="000479C6" w:rsidP="001C4FA6">
            <w:pPr>
              <w:tabs>
                <w:tab w:val="left" w:pos="708"/>
                <w:tab w:val="center" w:pos="4419"/>
                <w:tab w:val="right" w:pos="8838"/>
              </w:tabs>
              <w:jc w:val="center"/>
              <w:rPr>
                <w:rFonts w:eastAsia="MS Mincho"/>
                <w:b/>
              </w:rPr>
            </w:pPr>
            <w:r w:rsidRPr="007D5020">
              <w:rPr>
                <w:rFonts w:eastAsia="MS Mincho"/>
                <w:b/>
                <w:caps/>
              </w:rPr>
              <w:t xml:space="preserve">  </w:t>
            </w:r>
            <w:r w:rsidRPr="007D5020">
              <w:rPr>
                <w:rFonts w:eastAsia="MS Mincho"/>
                <w:b/>
              </w:rPr>
              <w:t>ALAINS ROJAS</w:t>
            </w:r>
          </w:p>
          <w:p w:rsidR="000479C6" w:rsidRPr="007D5020" w:rsidRDefault="000479C6" w:rsidP="001C4FA6">
            <w:pPr>
              <w:jc w:val="center"/>
              <w:rPr>
                <w:rFonts w:eastAsia="MS Mincho"/>
                <w:b/>
                <w:caps/>
              </w:rPr>
            </w:pPr>
            <w:r w:rsidRPr="007D5020">
              <w:rPr>
                <w:rFonts w:eastAsia="MS Mincho"/>
              </w:rPr>
              <w:t xml:space="preserve">Evaluador                              </w:t>
            </w:r>
          </w:p>
          <w:p w:rsidR="000479C6" w:rsidRPr="007D5020" w:rsidRDefault="000479C6" w:rsidP="001C4FA6">
            <w:pPr>
              <w:jc w:val="center"/>
              <w:rPr>
                <w:rFonts w:eastAsia="MS Mincho"/>
                <w:b/>
                <w:caps/>
              </w:rPr>
            </w:pPr>
          </w:p>
        </w:tc>
        <w:tc>
          <w:tcPr>
            <w:tcW w:w="4815" w:type="dxa"/>
            <w:gridSpan w:val="2"/>
            <w:shd w:val="clear" w:color="auto" w:fill="auto"/>
          </w:tcPr>
          <w:p w:rsidR="000479C6" w:rsidRPr="007D5020" w:rsidRDefault="000479C6" w:rsidP="001C4FA6">
            <w:pPr>
              <w:jc w:val="center"/>
              <w:rPr>
                <w:rFonts w:eastAsia="MS Mincho"/>
                <w:b/>
              </w:rPr>
            </w:pPr>
            <w:r w:rsidRPr="007D5020">
              <w:rPr>
                <w:rFonts w:eastAsia="MS Mincho"/>
                <w:b/>
              </w:rPr>
              <w:t>LICDA. NELLY RAMOS</w:t>
            </w:r>
          </w:p>
          <w:p w:rsidR="000479C6" w:rsidRPr="007D5020" w:rsidRDefault="000479C6" w:rsidP="001C4FA6">
            <w:pPr>
              <w:jc w:val="center"/>
              <w:rPr>
                <w:rFonts w:eastAsia="MS Mincho"/>
              </w:rPr>
            </w:pPr>
            <w:r w:rsidRPr="007D5020">
              <w:rPr>
                <w:rFonts w:eastAsia="MS Mincho"/>
              </w:rPr>
              <w:t xml:space="preserve">Jefa de la                              </w:t>
            </w:r>
          </w:p>
          <w:p w:rsidR="000479C6" w:rsidRPr="007D5020" w:rsidRDefault="000479C6" w:rsidP="001C4FA6">
            <w:pPr>
              <w:jc w:val="center"/>
              <w:rPr>
                <w:rFonts w:eastAsia="MS Mincho"/>
              </w:rPr>
            </w:pPr>
            <w:r w:rsidRPr="007D5020">
              <w:rPr>
                <w:rFonts w:eastAsia="MS Mincho"/>
              </w:rPr>
              <w:t>Sección de Evaluación de Impacto Ambiental</w:t>
            </w:r>
          </w:p>
          <w:p w:rsidR="000479C6" w:rsidRPr="007D5020" w:rsidRDefault="000479C6" w:rsidP="001C4FA6">
            <w:pPr>
              <w:jc w:val="center"/>
              <w:rPr>
                <w:rFonts w:eastAsia="MS Mincho"/>
              </w:rPr>
            </w:pPr>
            <w:r w:rsidRPr="007D5020">
              <w:rPr>
                <w:rFonts w:eastAsia="MS Mincho"/>
              </w:rPr>
              <w:t>Ministerio de Ambiente - Chiriquí</w:t>
            </w:r>
          </w:p>
        </w:tc>
      </w:tr>
      <w:tr w:rsidR="000479C6" w:rsidRPr="007D5020" w:rsidTr="001C4FA6">
        <w:trPr>
          <w:gridBefore w:val="1"/>
          <w:gridAfter w:val="1"/>
          <w:wBefore w:w="108" w:type="dxa"/>
          <w:wAfter w:w="151" w:type="dxa"/>
          <w:jc w:val="center"/>
        </w:trPr>
        <w:tc>
          <w:tcPr>
            <w:tcW w:w="9072" w:type="dxa"/>
            <w:gridSpan w:val="3"/>
            <w:shd w:val="clear" w:color="auto" w:fill="auto"/>
          </w:tcPr>
          <w:p w:rsidR="000479C6" w:rsidRPr="007D5020" w:rsidRDefault="000479C6" w:rsidP="001C4FA6">
            <w:pPr>
              <w:rPr>
                <w:rFonts w:eastAsia="MS Mincho"/>
                <w:b/>
                <w:caps/>
              </w:rPr>
            </w:pPr>
          </w:p>
          <w:p w:rsidR="000479C6" w:rsidRDefault="000479C6" w:rsidP="001C4FA6">
            <w:pPr>
              <w:rPr>
                <w:rFonts w:eastAsia="MS Mincho"/>
                <w:b/>
                <w:caps/>
              </w:rPr>
            </w:pPr>
            <w:r w:rsidRPr="007D5020">
              <w:rPr>
                <w:rFonts w:eastAsia="MS Mincho"/>
                <w:b/>
                <w:caps/>
              </w:rPr>
              <w:t xml:space="preserve">          </w:t>
            </w:r>
          </w:p>
          <w:p w:rsidR="000479C6" w:rsidRPr="007D5020" w:rsidRDefault="000479C6" w:rsidP="001C4FA6">
            <w:pPr>
              <w:rPr>
                <w:rFonts w:eastAsia="MS Mincho"/>
                <w:b/>
                <w:caps/>
              </w:rPr>
            </w:pPr>
          </w:p>
          <w:p w:rsidR="000479C6" w:rsidRPr="007D5020" w:rsidRDefault="000479C6" w:rsidP="001C4FA6">
            <w:pPr>
              <w:rPr>
                <w:rFonts w:eastAsia="MS Mincho"/>
                <w:b/>
                <w:caps/>
              </w:rPr>
            </w:pPr>
          </w:p>
          <w:p w:rsidR="000479C6" w:rsidRPr="007D5020" w:rsidRDefault="000479C6" w:rsidP="001C4FA6">
            <w:pPr>
              <w:jc w:val="center"/>
              <w:rPr>
                <w:rFonts w:eastAsia="MS Mincho"/>
                <w:b/>
                <w:caps/>
              </w:rPr>
            </w:pPr>
            <w:r w:rsidRPr="007D5020">
              <w:rPr>
                <w:rFonts w:eastAsia="MS Mincho"/>
                <w:b/>
                <w:caps/>
              </w:rPr>
              <w:t>ing. jeovany mora</w:t>
            </w:r>
          </w:p>
          <w:p w:rsidR="000479C6" w:rsidRPr="007D5020" w:rsidRDefault="000479C6" w:rsidP="001C4FA6">
            <w:pPr>
              <w:jc w:val="center"/>
              <w:rPr>
                <w:rFonts w:eastAsia="MS Mincho"/>
              </w:rPr>
            </w:pPr>
            <w:r w:rsidRPr="007D5020">
              <w:rPr>
                <w:rFonts w:eastAsia="MS Mincho"/>
                <w:caps/>
              </w:rPr>
              <w:t>d</w:t>
            </w:r>
            <w:r w:rsidRPr="007D5020">
              <w:rPr>
                <w:rFonts w:eastAsia="MS Mincho"/>
              </w:rPr>
              <w:t xml:space="preserve">irector </w:t>
            </w:r>
            <w:r w:rsidRPr="007D5020">
              <w:rPr>
                <w:rFonts w:eastAsia="MS Mincho"/>
                <w:caps/>
              </w:rPr>
              <w:t>r</w:t>
            </w:r>
            <w:r w:rsidRPr="007D5020">
              <w:rPr>
                <w:rFonts w:eastAsia="MS Mincho"/>
              </w:rPr>
              <w:t>egional Encargado</w:t>
            </w:r>
          </w:p>
          <w:p w:rsidR="000479C6" w:rsidRPr="007D5020" w:rsidRDefault="000479C6" w:rsidP="001C4FA6">
            <w:pPr>
              <w:jc w:val="center"/>
              <w:rPr>
                <w:rFonts w:eastAsia="MS Mincho"/>
                <w:caps/>
              </w:rPr>
            </w:pPr>
            <w:r w:rsidRPr="007D5020">
              <w:rPr>
                <w:rFonts w:eastAsia="MS Mincho"/>
                <w:caps/>
              </w:rPr>
              <w:t>m</w:t>
            </w:r>
            <w:r w:rsidRPr="007D5020">
              <w:rPr>
                <w:rFonts w:eastAsia="MS Mincho"/>
              </w:rPr>
              <w:t>inisterio</w:t>
            </w:r>
            <w:r w:rsidRPr="007D5020">
              <w:rPr>
                <w:rFonts w:eastAsia="MS Mincho"/>
                <w:caps/>
              </w:rPr>
              <w:t xml:space="preserve"> </w:t>
            </w:r>
            <w:r w:rsidRPr="007D5020">
              <w:rPr>
                <w:rFonts w:eastAsia="MS Mincho"/>
              </w:rPr>
              <w:t>de</w:t>
            </w:r>
            <w:r w:rsidRPr="007D5020">
              <w:rPr>
                <w:rFonts w:eastAsia="MS Mincho"/>
                <w:caps/>
              </w:rPr>
              <w:t xml:space="preserve"> a</w:t>
            </w:r>
            <w:r w:rsidRPr="007D5020">
              <w:rPr>
                <w:rFonts w:eastAsia="MS Mincho"/>
              </w:rPr>
              <w:t>mbiente</w:t>
            </w:r>
            <w:r w:rsidRPr="007D5020">
              <w:rPr>
                <w:rFonts w:eastAsia="MS Mincho"/>
                <w:caps/>
              </w:rPr>
              <w:t xml:space="preserve"> - C</w:t>
            </w:r>
            <w:r w:rsidRPr="007D5020">
              <w:rPr>
                <w:rFonts w:eastAsia="MS Mincho"/>
              </w:rPr>
              <w:t>hiriquí</w:t>
            </w:r>
          </w:p>
        </w:tc>
      </w:tr>
    </w:tbl>
    <w:p w:rsidR="000479C6" w:rsidRPr="007D5020" w:rsidRDefault="000479C6" w:rsidP="000479C6"/>
    <w:p w:rsidR="000479C6" w:rsidRPr="007D5020" w:rsidRDefault="000479C6" w:rsidP="000479C6"/>
    <w:p w:rsidR="000479C6" w:rsidRPr="007D5020" w:rsidRDefault="000479C6" w:rsidP="000479C6"/>
    <w:p w:rsidR="00777232" w:rsidRDefault="00BE4423"/>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23" w:rsidRDefault="00BE4423" w:rsidP="009F166A">
      <w:r>
        <w:separator/>
      </w:r>
    </w:p>
  </w:endnote>
  <w:endnote w:type="continuationSeparator" w:id="0">
    <w:p w:rsidR="00BE4423" w:rsidRDefault="00BE4423" w:rsidP="009F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7E4780">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7E4780">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7E4780">
    <w:pPr>
      <w:tabs>
        <w:tab w:val="left" w:pos="-1890"/>
      </w:tabs>
      <w:autoSpaceDE w:val="0"/>
      <w:autoSpaceDN w:val="0"/>
      <w:adjustRightInd w:val="0"/>
      <w:rPr>
        <w:b/>
        <w:bCs/>
        <w:sz w:val="16"/>
        <w:szCs w:val="16"/>
      </w:rPr>
    </w:pPr>
    <w:r>
      <w:rPr>
        <w:sz w:val="16"/>
        <w:szCs w:val="14"/>
        <w:lang w:eastAsia="zh-CN"/>
      </w:rPr>
      <w:t xml:space="preserve">PROYECTO: </w:t>
    </w:r>
    <w:r w:rsidR="009F166A" w:rsidRPr="009F166A">
      <w:rPr>
        <w:b/>
        <w:bCs/>
        <w:sz w:val="16"/>
        <w:szCs w:val="16"/>
      </w:rPr>
      <w:t>EXTRACCIÓN DE MINERAL NO METÁLICO GRAVA CONTINENTAL BAJOS DE CHIRIQUÍ</w:t>
    </w:r>
  </w:p>
  <w:p w:rsidR="00C23E98" w:rsidRDefault="007E4780">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9F166A" w:rsidRPr="009F166A">
      <w:rPr>
        <w:sz w:val="16"/>
        <w:szCs w:val="14"/>
        <w:lang w:val="es-PA" w:eastAsia="zh-CN"/>
      </w:rPr>
      <w:t>ININCO, S.A.</w:t>
    </w:r>
  </w:p>
  <w:p w:rsidR="00C23E98" w:rsidRPr="005F61B2" w:rsidRDefault="007E4780"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691583">
      <w:rPr>
        <w:noProof/>
        <w:sz w:val="16"/>
        <w:szCs w:val="14"/>
        <w:lang w:eastAsia="zh-CN"/>
      </w:rPr>
      <w:t>4</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691583">
      <w:rPr>
        <w:noProof/>
        <w:sz w:val="16"/>
        <w:szCs w:val="14"/>
        <w:lang w:eastAsia="zh-CN"/>
      </w:rPr>
      <w:t>4</w:t>
    </w:r>
    <w:r w:rsidRPr="005F61B2">
      <w:rPr>
        <w:sz w:val="16"/>
        <w:szCs w:val="14"/>
        <w:lang w:eastAsia="zh-CN"/>
      </w:rPr>
      <w:fldChar w:fldCharType="end"/>
    </w:r>
  </w:p>
  <w:p w:rsidR="00C23E98" w:rsidRDefault="007E4780">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C23E98" w:rsidRDefault="00BE44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23" w:rsidRDefault="00BE4423" w:rsidP="009F166A">
      <w:r>
        <w:separator/>
      </w:r>
    </w:p>
  </w:footnote>
  <w:footnote w:type="continuationSeparator" w:id="0">
    <w:p w:rsidR="00BE4423" w:rsidRDefault="00BE4423" w:rsidP="009F1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C6"/>
    <w:rsid w:val="000479C6"/>
    <w:rsid w:val="00061C91"/>
    <w:rsid w:val="00090471"/>
    <w:rsid w:val="00216AAE"/>
    <w:rsid w:val="002D4FC3"/>
    <w:rsid w:val="004D2220"/>
    <w:rsid w:val="0056755C"/>
    <w:rsid w:val="0058368D"/>
    <w:rsid w:val="005A2BBA"/>
    <w:rsid w:val="00691583"/>
    <w:rsid w:val="007E4780"/>
    <w:rsid w:val="009F166A"/>
    <w:rsid w:val="00A7676F"/>
    <w:rsid w:val="00B429A8"/>
    <w:rsid w:val="00BE4423"/>
    <w:rsid w:val="00CE4EE2"/>
    <w:rsid w:val="00DA48FB"/>
    <w:rsid w:val="00F9327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0479C6"/>
    <w:pPr>
      <w:tabs>
        <w:tab w:val="center" w:pos="4252"/>
        <w:tab w:val="right" w:pos="8504"/>
      </w:tabs>
    </w:pPr>
  </w:style>
  <w:style w:type="character" w:customStyle="1" w:styleId="PiedepginaCar">
    <w:name w:val="Pie de página Car"/>
    <w:basedOn w:val="Fuentedeprrafopredeter"/>
    <w:link w:val="Piedepgina"/>
    <w:rsid w:val="000479C6"/>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0479C6"/>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0479C6"/>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0479C6"/>
    <w:pPr>
      <w:ind w:left="720"/>
      <w:contextualSpacing/>
    </w:pPr>
  </w:style>
  <w:style w:type="table" w:styleId="Tablaconcuadrcula">
    <w:name w:val="Table Grid"/>
    <w:basedOn w:val="Tablanormal"/>
    <w:uiPriority w:val="59"/>
    <w:rsid w:val="00047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0479C6"/>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0479C6"/>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0479C6"/>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F166A"/>
    <w:pPr>
      <w:tabs>
        <w:tab w:val="center" w:pos="4419"/>
        <w:tab w:val="right" w:pos="8838"/>
      </w:tabs>
    </w:pPr>
  </w:style>
  <w:style w:type="character" w:customStyle="1" w:styleId="EncabezadoCar">
    <w:name w:val="Encabezado Car"/>
    <w:basedOn w:val="Fuentedeprrafopredeter"/>
    <w:link w:val="Encabezado"/>
    <w:uiPriority w:val="99"/>
    <w:rsid w:val="009F166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C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0479C6"/>
    <w:pPr>
      <w:tabs>
        <w:tab w:val="center" w:pos="4252"/>
        <w:tab w:val="right" w:pos="8504"/>
      </w:tabs>
    </w:pPr>
  </w:style>
  <w:style w:type="character" w:customStyle="1" w:styleId="PiedepginaCar">
    <w:name w:val="Pie de página Car"/>
    <w:basedOn w:val="Fuentedeprrafopredeter"/>
    <w:link w:val="Piedepgina"/>
    <w:rsid w:val="000479C6"/>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0479C6"/>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0479C6"/>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0479C6"/>
    <w:pPr>
      <w:ind w:left="720"/>
      <w:contextualSpacing/>
    </w:pPr>
  </w:style>
  <w:style w:type="table" w:styleId="Tablaconcuadrcula">
    <w:name w:val="Table Grid"/>
    <w:basedOn w:val="Tablanormal"/>
    <w:uiPriority w:val="59"/>
    <w:rsid w:val="00047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0479C6"/>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0479C6"/>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0479C6"/>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F166A"/>
    <w:pPr>
      <w:tabs>
        <w:tab w:val="center" w:pos="4419"/>
        <w:tab w:val="right" w:pos="8838"/>
      </w:tabs>
    </w:pPr>
  </w:style>
  <w:style w:type="character" w:customStyle="1" w:styleId="EncabezadoCar">
    <w:name w:val="Encabezado Car"/>
    <w:basedOn w:val="Fuentedeprrafopredeter"/>
    <w:link w:val="Encabezado"/>
    <w:uiPriority w:val="99"/>
    <w:rsid w:val="009F16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2050</Words>
  <Characters>11275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2019-09-13T15:15:00Z</dcterms:created>
  <dcterms:modified xsi:type="dcterms:W3CDTF">2019-09-16T15:03:00Z</dcterms:modified>
</cp:coreProperties>
</file>