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  <w:t>FORMATO EIA-FA-007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  <w:t>INFORME DE REVISIÓN DE CONTENIDOS MÍNIMOS DEL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  <w:t>ESTUDIO DE IMPACTO AMBIENTAL</w:t>
      </w:r>
      <w:r>
        <w:rPr>
          <w:rFonts w:hint="default" w:ascii="Times New Roman" w:hAnsi="Times New Roman" w:cs="Times New Roman"/>
          <w:b/>
          <w:bCs w:val="0"/>
          <w:color w:val="000000"/>
          <w:sz w:val="22"/>
          <w:szCs w:val="22"/>
          <w:u w:val="none"/>
        </w:rPr>
        <w:t xml:space="preserve"> 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9"/>
        <w:tblpPr w:leftFromText="141" w:rightFromText="141" w:vertAnchor="page" w:horzAnchor="page" w:tblpXSpec="center" w:tblpY="3618"/>
        <w:tblW w:w="882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343"/>
        <w:gridCol w:w="54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ind w:left="284"/>
              <w:jc w:val="both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</w:rPr>
              <w:t>FECHA DE INGRESO: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>18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 xml:space="preserve"> DE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>SEPTIEMBRE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 xml:space="preserve"> 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ind w:left="284"/>
              <w:jc w:val="both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</w:rPr>
              <w:t>FECHA DE INFORME: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rPr>
                <w:rFonts w:hint="default" w:ascii="Times New Roman" w:hAnsi="Times New Roman" w:cs="Times New Roman"/>
                <w:b w:val="0"/>
                <w:i w:val="0"/>
                <w:color w:val="FF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>20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 xml:space="preserve"> DE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 xml:space="preserve">SEPTIEMBRE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  <w:t>PROYECTO: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s-PA"/>
              </w:rPr>
              <w:t>INSTALACIÓN Y OPERACIÓN DE PLANTA TEMPORAL DE ASFALTO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  <w:t>CATEGORÍA: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PROMOTOR: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JOCA INGENIERÍA Y CONSTRUCCIONES, S.A.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3600"/>
              </w:tabs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  <w:t>CONSULTORES: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tabs>
                <w:tab w:val="left" w:pos="36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 xml:space="preserve">LUIS ESCALANTE         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zh-CN"/>
              </w:rPr>
              <w:t>I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RC-002-17</w:t>
            </w:r>
          </w:p>
          <w:p>
            <w:pPr>
              <w:tabs>
                <w:tab w:val="left" w:pos="36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GLADYS CABALLERO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zh-CN"/>
              </w:rPr>
              <w:t>I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RC-083-09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3600"/>
              </w:tabs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LOCALIZACIÓN: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tabs>
                <w:tab w:val="left" w:pos="36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CORREGIMIENTO DE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 xml:space="preserve"> LOS POZOS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, DISTRITO DE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 xml:space="preserve"> LOS POZOS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, PROVINCIA DE HERRERA. </w:t>
            </w:r>
          </w:p>
        </w:tc>
      </w:tr>
    </w:tbl>
    <w:p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es-PA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>BREVE DESCRIPCIÓN DEL PROYECTO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: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El proyecto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consiste en la colocación de un sistema de mezcla de agregados, áridos y betúmenes para la producción del asfalto que se utilizará en las labores de rehabilitación del proyecto “Diseño y Construcción del Camino, Rincón Hondo, El Banco y Esquiguita”. 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es-PA"/>
        </w:rPr>
      </w:pPr>
    </w:p>
    <w:p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es-PA"/>
        </w:rPr>
      </w:pPr>
      <w:r>
        <w:rPr>
          <w:rFonts w:hint="default" w:ascii="Times New Roman" w:hAnsi="Times New Roman" w:cs="Times New Roman"/>
          <w:sz w:val="22"/>
          <w:szCs w:val="22"/>
          <w:lang w:val="zh-CN"/>
        </w:rPr>
        <w:t>El desarrollo de la obra se llevará a cabo en una superficie de aproximadamente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1.82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hectáreas, dentro del predio de la Finca con Ubicación No. 6201, Folio Real No. 1059 (F)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cuyo propietario es el señor Ramiro Osorio. Dicha área será utilizada para ubicar la planta de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asfalto y todos sus componentes, tales como: área de recibimiento de material pétreo (piedra),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tolvas, horno secador, silo de almacenamiento, oficina de cómputo y panel de control, área de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carga de camiones con mezcla asfáltica, tanque térmico para almacenaje de aceite asfáltico,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planta eléctrica, tanque de almacenamiento de diésel, chimenea de salida de vapor, tinas de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sedimentación, área de patio de maquinaria y equipo y servicios sanitarios portátiles.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es-PA"/>
        </w:rPr>
      </w:pPr>
    </w:p>
    <w:p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  <w:lang w:val="zh-CN"/>
        </w:rPr>
        <w:t>FUNDAMENTO DE DERECHO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: Texto Único de la Ley No.41 de 1998; Ley No.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38 de 2000; Decreto Ejecutivo Nº 123 de 2009, modificado por el Decreto Ejecutivo No.155 de 05 de agosto de 2011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Decreto Ejecutivo 36 del 3 de junio de 2019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y demás normas complementarias y concordantes. 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 xml:space="preserve">VERIFICACION DE CONTENIDO: </w:t>
      </w:r>
      <w:r>
        <w:rPr>
          <w:rFonts w:hint="default" w:ascii="Times New Roman" w:hAnsi="Times New Roman" w:cs="Times New Roman"/>
          <w:sz w:val="22"/>
          <w:szCs w:val="22"/>
        </w:rPr>
        <w:t xml:space="preserve"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A</w:t>
      </w:r>
      <w:r>
        <w:rPr>
          <w:rFonts w:hint="default" w:ascii="Times New Roman" w:hAnsi="Times New Roman" w:cs="Times New Roman"/>
          <w:sz w:val="22"/>
          <w:szCs w:val="22"/>
        </w:rPr>
        <w:t>dmisión.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Que luego de revisado el registro de consultores ambientales, se detectó que los consultores se encuentran registrados y habilitados ante el </w:t>
      </w:r>
      <w:r>
        <w:rPr>
          <w:rFonts w:hint="default" w:ascii="Times New Roman" w:hAnsi="Times New Roman" w:cs="Times New Roman"/>
          <w:b/>
          <w:sz w:val="22"/>
          <w:szCs w:val="22"/>
        </w:rPr>
        <w:t>MINISTERIO DE AMBIENTE (MIAMBIENTE)</w:t>
      </w:r>
      <w:r>
        <w:rPr>
          <w:rFonts w:hint="default" w:ascii="Times New Roman" w:hAnsi="Times New Roman" w:cs="Times New Roman"/>
          <w:sz w:val="22"/>
          <w:szCs w:val="22"/>
        </w:rPr>
        <w:t xml:space="preserve">, para realizar Estudios de Impacto Ambiental.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Que luego de revisado el Estudio de Impacto Ambiental (EsIA), Categoría I, del proyecto denominado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INSTALACIÓN Y OPERACIÓN DE PLANTA TEMPORAL DE ASFALTO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</w:rPr>
        <w:t>se detectó que el mismo cumple con los contenidos mínimos establecidos en los artículos 26 del Decreto Ejecutivo 123 del 14 de agosto de 2009 y lo señalado en el artículo 2 del Decreto Ejecutivo 36 del 3 de junio de 2019 que modifica los artículos 38 y 39 del Decreto Ejecutivo 123 del 14 de agosto de 2009.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2"/>
          <w:szCs w:val="22"/>
          <w:lang w:val="es-PA"/>
        </w:rPr>
      </w:pPr>
      <w:r>
        <w:rPr>
          <w:rFonts w:hint="default" w:ascii="Times New Roman" w:hAnsi="Times New Roman" w:cs="Times New Roman"/>
          <w:b/>
          <w:sz w:val="22"/>
          <w:szCs w:val="22"/>
          <w:u w:val="single"/>
        </w:rPr>
        <w:t>RECOMENDACIONES</w:t>
      </w:r>
      <w:r>
        <w:rPr>
          <w:rFonts w:hint="default" w:ascii="Times New Roman" w:hAnsi="Times New Roman" w:cs="Times New Roman"/>
          <w:b/>
          <w:sz w:val="22"/>
          <w:szCs w:val="22"/>
        </w:rPr>
        <w:t>: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Por lo antes expuesto, se recomienda Admitir el Estudio de Impacto Ambiental </w:t>
      </w:r>
      <w:r>
        <w:rPr>
          <w:rFonts w:hint="default" w:ascii="Times New Roman" w:hAnsi="Times New Roman" w:cs="Times New Roman"/>
          <w:sz w:val="22"/>
          <w:szCs w:val="22"/>
        </w:rPr>
        <w:t>Categoría I del proyecto denominado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INSTALACIÓN Y OPERACIÓN DE PLANTA TEMPORAL DE ASFALTO</w:t>
      </w:r>
      <w:r>
        <w:rPr>
          <w:rFonts w:hint="default" w:ascii="Times New Roman" w:hAnsi="Times New Roman" w:cs="Times New Roman"/>
          <w:b w:val="0"/>
          <w:bCs/>
          <w:color w:val="00000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promovido por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es-PA"/>
        </w:rPr>
        <w:t>JOCA INGENIERÍA Y CONSTRUCCIONES, S.A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es-PA"/>
        </w:rPr>
        <w:t>.</w:t>
      </w:r>
    </w:p>
    <w:tbl>
      <w:tblPr>
        <w:tblStyle w:val="9"/>
        <w:tblpPr w:leftFromText="180" w:rightFromText="180" w:vertAnchor="text" w:horzAnchor="page" w:tblpX="1935" w:tblpY="77"/>
        <w:tblOverlap w:val="never"/>
        <w:tblW w:w="84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1"/>
        <w:gridCol w:w="43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  <w:lang w:val="es-PA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  <w:lang w:val="es-PA"/>
              </w:rPr>
              <w:t>______________________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</w:rPr>
              <w:t>ing. YURIA BENÍTEZ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Técnico Evaluador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  <w:lang w:val="es-PA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  <w:lang w:val="es-PA"/>
              </w:rPr>
              <w:t>________________________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</w:rPr>
              <w:t>lic. luis peña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Jefe de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s-PA"/>
              </w:rPr>
              <w:t xml:space="preserve"> la Sección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de Evaluación de Impacto Ambiental</w:t>
            </w:r>
          </w:p>
        </w:tc>
      </w:tr>
    </w:tbl>
    <w:p>
      <w:pPr>
        <w:tabs>
          <w:tab w:val="left" w:pos="708"/>
          <w:tab w:val="center" w:pos="4419"/>
          <w:tab w:val="right" w:pos="8838"/>
        </w:tabs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9"/>
        <w:tblpPr w:leftFromText="141" w:rightFromText="141" w:vertAnchor="page" w:horzAnchor="page" w:tblpX="3248" w:tblpY="17344"/>
        <w:tblW w:w="5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aps/>
                <w:color w:val="000000"/>
                <w:sz w:val="22"/>
                <w:szCs w:val="22"/>
                <w:u w:val="single"/>
                <w:lang w:val="es-PA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aps/>
                <w:color w:val="000000"/>
                <w:sz w:val="22"/>
                <w:szCs w:val="22"/>
                <w:u w:val="single"/>
                <w:lang w:val="es-P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aps/>
                <w:color w:val="000000"/>
                <w:sz w:val="22"/>
                <w:szCs w:val="22"/>
                <w:u w:val="single"/>
                <w:lang w:val="es-PA"/>
              </w:rPr>
              <w:t>_______________________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caps/>
                <w:color w:val="000000"/>
                <w:sz w:val="22"/>
                <w:szCs w:val="22"/>
                <w:u w:val="none"/>
                <w:lang w:val="es-P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u w:val="none"/>
                <w:lang w:val="es-PA"/>
              </w:rPr>
              <w:t>I</w:t>
            </w:r>
            <w:r>
              <w:rPr>
                <w:rFonts w:hint="default" w:ascii="Times New Roman" w:hAnsi="Times New Roman" w:cs="Times New Roman"/>
                <w:b/>
                <w:bCs w:val="0"/>
                <w:caps/>
                <w:color w:val="000000"/>
                <w:sz w:val="22"/>
                <w:szCs w:val="22"/>
                <w:u w:val="none"/>
                <w:lang w:val="es-PA"/>
              </w:rPr>
              <w:t xml:space="preserve">ng. 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u w:val="none"/>
                <w:lang w:val="es-PA"/>
              </w:rPr>
              <w:t>J</w:t>
            </w:r>
            <w:r>
              <w:rPr>
                <w:rFonts w:hint="default" w:ascii="Times New Roman" w:hAnsi="Times New Roman" w:cs="Times New Roman"/>
                <w:b/>
                <w:bCs w:val="0"/>
                <w:caps/>
                <w:color w:val="000000"/>
                <w:sz w:val="22"/>
                <w:szCs w:val="22"/>
                <w:u w:val="none"/>
                <w:lang w:val="es-PA"/>
              </w:rPr>
              <w:t>uan samaniego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Director Regional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s-PA"/>
              </w:rPr>
              <w:t xml:space="preserve"> Encargado</w:t>
            </w:r>
            <w:bookmarkStart w:id="0" w:name="_GoBack"/>
            <w:bookmarkEnd w:id="0"/>
          </w:p>
        </w:tc>
      </w:tr>
    </w:tbl>
    <w:p>
      <w:pPr>
        <w:tabs>
          <w:tab w:val="left" w:pos="708"/>
          <w:tab w:val="center" w:pos="4419"/>
          <w:tab w:val="right" w:pos="8838"/>
        </w:tabs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</w:p>
    <w:sectPr>
      <w:headerReference r:id="rId3" w:type="default"/>
      <w:footerReference r:id="rId4" w:type="default"/>
      <w:pgSz w:h="20160"/>
      <w:pgMar w:top="1418" w:right="1701" w:bottom="1418" w:left="1701" w:header="283" w:footer="709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imesNewRoma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419"/>
        <w:tab w:val="right" w:pos="8838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4"/>
      <w:tabs>
        <w:tab w:val="center" w:pos="4419"/>
        <w:tab w:val="right" w:pos="8838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520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639"/>
      <w:gridCol w:w="2881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62" w:hRule="atLeast"/>
        <w:jc w:val="center"/>
      </w:trPr>
      <w:tc>
        <w:tcPr>
          <w:tcW w:w="563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>
          <w: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-104775</wp:posOffset>
                </wp:positionH>
                <wp:positionV relativeFrom="margin">
                  <wp:posOffset>255905</wp:posOffset>
                </wp:positionV>
                <wp:extent cx="3533775" cy="935990"/>
                <wp:effectExtent l="0" t="0" r="0" b="0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3775" cy="935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8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jc w:val="center"/>
            <w:rPr>
              <w:color w:val="000000"/>
              <w:sz w:val="22"/>
            </w:rPr>
          </w:pPr>
        </w:p>
        <w:p>
          <w:pPr>
            <w:jc w:val="right"/>
            <w:rPr>
              <w:color w:val="000000"/>
              <w:sz w:val="22"/>
              <w:lang w:val="zh-CN"/>
            </w:rPr>
          </w:pPr>
        </w:p>
        <w:p>
          <w:pPr>
            <w:jc w:val="right"/>
            <w:rPr>
              <w:color w:val="000000"/>
              <w:sz w:val="22"/>
              <w:lang w:val="zh-CN"/>
            </w:rPr>
          </w:pPr>
        </w:p>
        <w:p>
          <w:pPr>
            <w:jc w:val="right"/>
            <w:rPr>
              <w:color w:val="000000"/>
              <w:sz w:val="20"/>
              <w:szCs w:val="20"/>
              <w:lang w:val="zh-CN"/>
            </w:rPr>
          </w:pPr>
        </w:p>
        <w:p>
          <w:pPr>
            <w:jc w:val="right"/>
            <w:rPr>
              <w:color w:val="000000"/>
              <w:sz w:val="20"/>
              <w:szCs w:val="20"/>
              <w:lang w:val="zh-CN"/>
            </w:rPr>
          </w:pPr>
        </w:p>
        <w:p>
          <w:pPr>
            <w:jc w:val="right"/>
            <w:rPr>
              <w:sz w:val="22"/>
            </w:rPr>
          </w:pPr>
          <w:r>
            <w:rPr>
              <w:rFonts w:hint="default"/>
              <w:color w:val="000000"/>
              <w:sz w:val="20"/>
              <w:szCs w:val="20"/>
              <w:lang w:val="es-PA"/>
            </w:rPr>
            <w:t>T</w:t>
          </w:r>
          <w:r>
            <w:rPr>
              <w:color w:val="000000"/>
              <w:sz w:val="20"/>
              <w:szCs w:val="20"/>
              <w:lang w:val="zh-CN"/>
            </w:rPr>
            <w:t xml:space="preserve">el. </w:t>
          </w:r>
          <w:r>
            <w:rPr>
              <w:rFonts w:hint="default"/>
              <w:color w:val="000000"/>
              <w:sz w:val="20"/>
              <w:szCs w:val="20"/>
              <w:lang w:val="es-PA"/>
            </w:rPr>
            <w:t>996-7675</w:t>
          </w:r>
          <w:r>
            <w:rPr>
              <w:sz w:val="20"/>
              <w:szCs w:val="20"/>
              <w:lang w:val="zh-CN"/>
            </w:rPr>
            <w:t xml:space="preserve">                                                            </w:t>
          </w:r>
          <w:r>
            <w:rPr>
              <w:color w:val="auto"/>
              <w:sz w:val="20"/>
              <w:szCs w:val="20"/>
            </w:rPr>
            <w:fldChar w:fldCharType="begin"/>
          </w:r>
          <w:r>
            <w:rPr>
              <w:color w:val="auto"/>
              <w:sz w:val="20"/>
              <w:szCs w:val="20"/>
            </w:rPr>
            <w:instrText xml:space="preserve"> HYPERLINK "http://www.miambiente.gob.pa" </w:instrText>
          </w:r>
          <w:r>
            <w:rPr>
              <w:color w:val="auto"/>
              <w:sz w:val="20"/>
              <w:szCs w:val="20"/>
            </w:rPr>
            <w:fldChar w:fldCharType="separate"/>
          </w:r>
          <w:r>
            <w:rPr>
              <w:rStyle w:val="8"/>
              <w:color w:val="auto"/>
              <w:sz w:val="20"/>
              <w:szCs w:val="20"/>
            </w:rPr>
            <w:t>www.miambiente.gob.pa</w:t>
          </w:r>
          <w:r>
            <w:rPr>
              <w:color w:val="auto"/>
              <w:sz w:val="20"/>
              <w:szCs w:val="20"/>
            </w:rPr>
            <w:fldChar w:fldCharType="end"/>
          </w:r>
        </w:p>
      </w:tc>
    </w:tr>
  </w:tbl>
  <w:p>
    <w:pPr>
      <w:pStyle w:val="5"/>
      <w:tabs>
        <w:tab w:val="center" w:pos="4419"/>
        <w:tab w:val="right" w:pos="8838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50919"/>
    <w:rsid w:val="031B4DBA"/>
    <w:rsid w:val="06B65A24"/>
    <w:rsid w:val="0B11125E"/>
    <w:rsid w:val="11A24915"/>
    <w:rsid w:val="12856B2B"/>
    <w:rsid w:val="13125E71"/>
    <w:rsid w:val="16770B62"/>
    <w:rsid w:val="172F1DEC"/>
    <w:rsid w:val="194E4C4C"/>
    <w:rsid w:val="249A2A29"/>
    <w:rsid w:val="266B0748"/>
    <w:rsid w:val="27077B66"/>
    <w:rsid w:val="272941DA"/>
    <w:rsid w:val="2C401994"/>
    <w:rsid w:val="2C795E23"/>
    <w:rsid w:val="305D1399"/>
    <w:rsid w:val="30B733AF"/>
    <w:rsid w:val="35E23C14"/>
    <w:rsid w:val="38571C7A"/>
    <w:rsid w:val="38C30C34"/>
    <w:rsid w:val="41396FD7"/>
    <w:rsid w:val="415B49F3"/>
    <w:rsid w:val="422A1351"/>
    <w:rsid w:val="44FC2C7B"/>
    <w:rsid w:val="48DD35AE"/>
    <w:rsid w:val="4EE90415"/>
    <w:rsid w:val="4F2A44C2"/>
    <w:rsid w:val="52683115"/>
    <w:rsid w:val="54A03478"/>
    <w:rsid w:val="577200EE"/>
    <w:rsid w:val="58B9281D"/>
    <w:rsid w:val="5E4F26EF"/>
    <w:rsid w:val="60A061A9"/>
    <w:rsid w:val="62257D57"/>
    <w:rsid w:val="628E6E83"/>
    <w:rsid w:val="6AF734A2"/>
    <w:rsid w:val="6CE4762E"/>
    <w:rsid w:val="6E2A7FF8"/>
    <w:rsid w:val="6E5845C8"/>
    <w:rsid w:val="72BD2CC2"/>
    <w:rsid w:val="75E53D99"/>
    <w:rsid w:val="7A620C41"/>
    <w:rsid w:val="7EA5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="Calibri" w:eastAsia="SimSun" w:cs="Times New Roman"/>
      <w:sz w:val="24"/>
      <w:lang w:val="zh-CN"/>
    </w:rPr>
  </w:style>
  <w:style w:type="paragraph" w:styleId="2">
    <w:name w:val="heading 2"/>
    <w:basedOn w:val="1"/>
    <w:next w:val="1"/>
    <w:qFormat/>
    <w:uiPriority w:val="0"/>
    <w:pPr>
      <w:spacing w:before="240" w:after="60"/>
      <w:outlineLvl w:val="1"/>
    </w:pPr>
    <w:rPr>
      <w:rFonts w:hint="default" w:ascii="Arial" w:hAnsi="Arial"/>
      <w:b/>
      <w:i/>
      <w:sz w:val="28"/>
    </w:rPr>
  </w:style>
  <w:style w:type="paragraph" w:styleId="3">
    <w:name w:val="heading 4"/>
    <w:basedOn w:val="1"/>
    <w:next w:val="1"/>
    <w:qFormat/>
    <w:uiPriority w:val="0"/>
    <w:pPr>
      <w:spacing w:before="240" w:after="60"/>
      <w:outlineLvl w:val="3"/>
    </w:pPr>
    <w:rPr>
      <w:rFonts w:hint="default" w:ascii="Calibri" w:hAnsi="Calibri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</w:style>
  <w:style w:type="paragraph" w:styleId="5">
    <w:name w:val="header"/>
    <w:basedOn w:val="1"/>
    <w:qFormat/>
    <w:uiPriority w:val="0"/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8">
    <w:name w:val="Hyperlink"/>
    <w:qFormat/>
    <w:uiPriority w:val="0"/>
    <w:rPr>
      <w:color w:val="0000FF"/>
      <w:sz w:val="24"/>
      <w:u w:val="single"/>
    </w:r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Times New Roman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Office_11.2.0.8942_F1E327BC-269C-435d-A152-05C5408002CA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2019-06-18T13:31:00Z</dcterms:created>
  <dc:creator>lpena</dc:creator>
  <cp:lastModifiedBy>lpena</cp:lastModifiedBy>
  <dcterms:modified xsi:type="dcterms:W3CDTF">2019-09-20T13:51:20Z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1033-11.2.0.8942</vt:lpwstr>
  </property>
</Properties>
</file>