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DB1D63">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DB1D63" w:rsidRPr="00702F3C" w:rsidRDefault="00DB1D63" w:rsidP="00DB1D63">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DB1D63">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46243A">
        <w:rPr>
          <w:rFonts w:ascii="Times New Roman" w:eastAsia="Calibri" w:hAnsi="Times New Roman" w:cs="Times New Roman"/>
          <w:b/>
          <w:sz w:val="24"/>
          <w:szCs w:val="24"/>
          <w:lang w:val="es-ES"/>
        </w:rPr>
        <w:t>100</w:t>
      </w:r>
      <w:r w:rsidRPr="00E150E1">
        <w:rPr>
          <w:rFonts w:ascii="Times New Roman" w:eastAsia="Calibri" w:hAnsi="Times New Roman" w:cs="Times New Roman"/>
          <w:b/>
          <w:sz w:val="24"/>
          <w:szCs w:val="24"/>
          <w:lang w:val="es-ES"/>
        </w:rPr>
        <w:t>- 2019</w:t>
      </w:r>
    </w:p>
    <w:p w:rsidR="00DB1D63" w:rsidRPr="00702F3C" w:rsidRDefault="00DB1D63" w:rsidP="00DB1D63">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 xml:space="preserve">23 </w:t>
      </w: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SEPTIEMBRE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DB1D63" w:rsidRPr="00702F3C" w:rsidRDefault="00DB1D63" w:rsidP="00DB1D6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001A09BE">
        <w:rPr>
          <w:rFonts w:ascii="Times New Roman" w:hAnsi="Times New Roman" w:cs="Times New Roman"/>
          <w:b/>
          <w:sz w:val="24"/>
          <w:szCs w:val="24"/>
        </w:rPr>
        <w:t>PLAZA COMERCIAL PORTA NOVA</w:t>
      </w:r>
      <w:r w:rsidRPr="00702F3C">
        <w:rPr>
          <w:rFonts w:ascii="Times New Roman" w:hAnsi="Times New Roman" w:cs="Times New Roman"/>
          <w:b/>
          <w:sz w:val="24"/>
          <w:szCs w:val="24"/>
        </w:rPr>
        <w:t>”.</w:t>
      </w:r>
    </w:p>
    <w:p w:rsidR="00DB1D63" w:rsidRPr="00702F3C" w:rsidRDefault="00DB1D63" w:rsidP="00DB1D6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DB1D63" w:rsidRPr="00702F3C" w:rsidRDefault="00DB1D63" w:rsidP="00DB1D6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Pr="00702F3C" w:rsidRDefault="00DB1D63" w:rsidP="00DB1D63">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001A09BE">
        <w:rPr>
          <w:rFonts w:ascii="Times New Roman" w:eastAsia="Calibri" w:hAnsi="Times New Roman" w:cs="Times New Roman"/>
          <w:b/>
          <w:sz w:val="24"/>
          <w:szCs w:val="24"/>
          <w:lang w:val="es-ES"/>
        </w:rPr>
        <w:t>INVERSIONES LOS ALGARROBOS , S.A.</w:t>
      </w:r>
      <w:r w:rsidRPr="00DB1D63">
        <w:rPr>
          <w:rFonts w:ascii="Times New Roman" w:eastAsia="Calibri" w:hAnsi="Times New Roman" w:cs="Times New Roman"/>
          <w:b/>
          <w:sz w:val="24"/>
          <w:szCs w:val="24"/>
          <w:lang w:val="es-ES"/>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001A09BE">
        <w:rPr>
          <w:rFonts w:ascii="Times New Roman" w:hAnsi="Times New Roman" w:cs="Times New Roman"/>
          <w:b/>
          <w:color w:val="000000"/>
          <w:spacing w:val="-3"/>
          <w:sz w:val="24"/>
          <w:szCs w:val="24"/>
          <w:lang w:val="es-ES_tradnl"/>
        </w:rPr>
        <w:t>PLAZA COMERCIAL PORTA NOVA</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DB1D63" w:rsidRPr="00702F3C" w:rsidRDefault="00DB1D63" w:rsidP="00DB1D63">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sidR="001A09BE">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 xml:space="preserve"> de junio</w:t>
      </w:r>
      <w:r w:rsidRPr="00702F3C">
        <w:rPr>
          <w:rFonts w:ascii="Times New Roman" w:eastAsia="Calibri" w:hAnsi="Times New Roman" w:cs="Times New Roman"/>
          <w:sz w:val="24"/>
          <w:szCs w:val="24"/>
          <w:lang w:val="es-ES"/>
        </w:rPr>
        <w:t xml:space="preserve"> de 2019, el señor </w:t>
      </w:r>
      <w:r w:rsidR="001A09BE" w:rsidRPr="001A09BE">
        <w:rPr>
          <w:rFonts w:ascii="Times New Roman" w:eastAsia="Calibri" w:hAnsi="Times New Roman" w:cs="Times New Roman"/>
          <w:b/>
          <w:bCs/>
          <w:sz w:val="24"/>
          <w:szCs w:val="24"/>
          <w:lang w:val="es-ES"/>
        </w:rPr>
        <w:t xml:space="preserve">JUAN CARLOS GONZALEZ ABADIA, </w:t>
      </w:r>
      <w:r w:rsidR="001A09BE" w:rsidRPr="001A09BE">
        <w:rPr>
          <w:rFonts w:ascii="Times New Roman" w:eastAsia="Calibri" w:hAnsi="Times New Roman" w:cs="Times New Roman"/>
          <w:sz w:val="24"/>
          <w:szCs w:val="24"/>
          <w:lang w:val="es-ES"/>
        </w:rPr>
        <w:t>con cédula de identidad personal</w:t>
      </w:r>
      <w:r w:rsidR="001A09BE" w:rsidRPr="001A09BE">
        <w:rPr>
          <w:rFonts w:ascii="Times New Roman" w:eastAsia="Calibri" w:hAnsi="Times New Roman" w:cs="Times New Roman"/>
          <w:b/>
          <w:sz w:val="24"/>
          <w:szCs w:val="24"/>
          <w:lang w:val="es-ES"/>
        </w:rPr>
        <w:t xml:space="preserve"> N° 4-716-2457,</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1A09BE" w:rsidRPr="001A09BE">
        <w:rPr>
          <w:rFonts w:ascii="Times New Roman" w:hAnsi="Times New Roman" w:cs="Times New Roman"/>
          <w:b/>
          <w:sz w:val="24"/>
          <w:szCs w:val="24"/>
          <w:lang w:val="es-ES"/>
        </w:rPr>
        <w:t xml:space="preserve">ALBERTO QUINTERO Y GISELA SANTAMARIA, </w:t>
      </w:r>
      <w:r w:rsidR="001A09BE" w:rsidRPr="001A09BE">
        <w:rPr>
          <w:rFonts w:ascii="Times New Roman" w:hAnsi="Times New Roman" w:cs="Times New Roman"/>
          <w:sz w:val="24"/>
          <w:szCs w:val="24"/>
          <w:lang w:val="es-ES"/>
        </w:rPr>
        <w:t>personas naturales inscritas en el Registro de  Consultores Idóneos que  lleva el Ministerio de Ambiente (</w:t>
      </w:r>
      <w:proofErr w:type="spellStart"/>
      <w:r w:rsidR="001A09BE" w:rsidRPr="001A09BE">
        <w:rPr>
          <w:rFonts w:ascii="Times New Roman" w:hAnsi="Times New Roman" w:cs="Times New Roman"/>
          <w:sz w:val="24"/>
          <w:szCs w:val="24"/>
          <w:lang w:val="es-ES"/>
        </w:rPr>
        <w:t>MiAMBIENTE</w:t>
      </w:r>
      <w:proofErr w:type="spellEnd"/>
      <w:r w:rsidR="001A09BE" w:rsidRPr="001A09BE">
        <w:rPr>
          <w:rFonts w:ascii="Times New Roman" w:hAnsi="Times New Roman" w:cs="Times New Roman"/>
          <w:sz w:val="24"/>
          <w:szCs w:val="24"/>
          <w:lang w:val="es-ES"/>
        </w:rPr>
        <w:t>), mediante las Resoluciones</w:t>
      </w:r>
      <w:r w:rsidR="001A09BE" w:rsidRPr="001A09BE">
        <w:rPr>
          <w:rFonts w:ascii="Times New Roman" w:hAnsi="Times New Roman" w:cs="Times New Roman"/>
          <w:b/>
          <w:sz w:val="24"/>
          <w:szCs w:val="24"/>
          <w:lang w:val="es-ES"/>
        </w:rPr>
        <w:t xml:space="preserve"> </w:t>
      </w:r>
      <w:r w:rsidR="001A09BE" w:rsidRPr="001A09BE">
        <w:rPr>
          <w:rFonts w:ascii="Times New Roman" w:hAnsi="Times New Roman" w:cs="Times New Roman"/>
          <w:b/>
          <w:sz w:val="24"/>
          <w:szCs w:val="24"/>
        </w:rPr>
        <w:t xml:space="preserve">IRC - 031 – 09 e </w:t>
      </w:r>
      <w:r w:rsidR="001A09BE" w:rsidRPr="001A09BE">
        <w:rPr>
          <w:rFonts w:ascii="Times New Roman" w:hAnsi="Times New Roman" w:cs="Times New Roman"/>
          <w:b/>
          <w:sz w:val="24"/>
          <w:szCs w:val="24"/>
          <w:lang w:val="es-ES"/>
        </w:rPr>
        <w:t xml:space="preserve">E </w:t>
      </w:r>
      <w:r w:rsidR="001A09BE" w:rsidRPr="001A09BE">
        <w:rPr>
          <w:rFonts w:ascii="Times New Roman" w:hAnsi="Times New Roman" w:cs="Times New Roman"/>
          <w:b/>
          <w:sz w:val="24"/>
          <w:szCs w:val="24"/>
        </w:rPr>
        <w:t>IAR-010-98</w:t>
      </w:r>
      <w:r w:rsidR="001A09BE">
        <w:rPr>
          <w:rFonts w:ascii="Times New Roman" w:hAnsi="Times New Roman" w:cs="Times New Roman"/>
          <w:b/>
          <w:sz w:val="24"/>
          <w:szCs w:val="24"/>
        </w:rPr>
        <w:t xml:space="preserve">, </w:t>
      </w:r>
      <w:r w:rsidR="001A09BE" w:rsidRPr="001A09BE">
        <w:rPr>
          <w:rFonts w:ascii="Times New Roman" w:hAnsi="Times New Roman" w:cs="Times New Roman"/>
          <w:sz w:val="24"/>
          <w:szCs w:val="24"/>
        </w:rPr>
        <w:t>respectivamente</w:t>
      </w:r>
      <w:r w:rsidR="001A09BE" w:rsidRPr="001A09BE">
        <w:rPr>
          <w:rFonts w:ascii="Times New Roman" w:hAnsi="Times New Roman" w:cs="Times New Roman"/>
          <w:spacing w:val="-3"/>
          <w:sz w:val="24"/>
          <w:szCs w:val="24"/>
          <w:lang w:val="es-ES_tradnl"/>
        </w:rPr>
        <w:t>.</w:t>
      </w:r>
    </w:p>
    <w:p w:rsidR="00DB1D63" w:rsidRPr="00702F3C" w:rsidRDefault="00DB1D63" w:rsidP="00DB1D63">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BA705C" w:rsidRPr="00BA705C" w:rsidRDefault="00DB1D63" w:rsidP="006A3AD1">
      <w:pPr>
        <w:spacing w:line="360" w:lineRule="auto"/>
        <w:jc w:val="both"/>
        <w:rPr>
          <w:rFonts w:ascii="Times New Roman" w:eastAsia="Times New Roman" w:hAnsi="Times New Roman" w:cs="Times New Roman"/>
          <w:sz w:val="23"/>
          <w:szCs w:val="23"/>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construcción</w:t>
      </w:r>
      <w:proofErr w:type="spellEnd"/>
      <w:r w:rsidR="001A09BE" w:rsidRPr="001A09BE">
        <w:rPr>
          <w:rFonts w:ascii="Times New Roman" w:eastAsia="Times New Roman" w:hAnsi="Times New Roman" w:cs="Times New Roman"/>
          <w:sz w:val="24"/>
          <w:szCs w:val="24"/>
          <w:lang w:val="en-US" w:eastAsia="es-ES"/>
        </w:rPr>
        <w:t xml:space="preserve"> de un </w:t>
      </w:r>
      <w:proofErr w:type="spellStart"/>
      <w:r w:rsidR="001A09BE" w:rsidRPr="001A09BE">
        <w:rPr>
          <w:rFonts w:ascii="Times New Roman" w:eastAsia="Times New Roman" w:hAnsi="Times New Roman" w:cs="Times New Roman"/>
          <w:sz w:val="24"/>
          <w:szCs w:val="24"/>
          <w:lang w:val="en-US" w:eastAsia="es-ES"/>
        </w:rPr>
        <w:t>edificio</w:t>
      </w:r>
      <w:proofErr w:type="spellEnd"/>
      <w:r w:rsidR="001A09BE" w:rsidRPr="001A09BE">
        <w:rPr>
          <w:rFonts w:ascii="Times New Roman" w:eastAsia="Times New Roman" w:hAnsi="Times New Roman" w:cs="Times New Roman"/>
          <w:sz w:val="24"/>
          <w:szCs w:val="24"/>
          <w:lang w:val="en-US" w:eastAsia="es-ES"/>
        </w:rPr>
        <w:t xml:space="preserve"> el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albergara</w:t>
      </w:r>
      <w:proofErr w:type="spellEnd"/>
      <w:r w:rsidR="001A09BE" w:rsidRPr="001A09BE">
        <w:rPr>
          <w:rFonts w:ascii="Times New Roman" w:eastAsia="Times New Roman" w:hAnsi="Times New Roman" w:cs="Times New Roman"/>
          <w:sz w:val="24"/>
          <w:szCs w:val="24"/>
          <w:lang w:val="en-US" w:eastAsia="es-ES"/>
        </w:rPr>
        <w:t xml:space="preserve">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68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pequeños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98 m2 @ 150 m2 y 13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grandes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de 150 m2 @ 1950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1 banco, 1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restaurantes</w:t>
      </w:r>
      <w:proofErr w:type="spellEnd"/>
      <w:r w:rsidR="001A09BE" w:rsidRPr="001A09BE">
        <w:rPr>
          <w:rFonts w:ascii="Times New Roman" w:eastAsia="Times New Roman" w:hAnsi="Times New Roman" w:cs="Times New Roman"/>
          <w:sz w:val="24"/>
          <w:szCs w:val="24"/>
          <w:lang w:val="en-US" w:eastAsia="es-ES"/>
        </w:rPr>
        <w:t xml:space="preserve"> y dos </w:t>
      </w:r>
      <w:proofErr w:type="spellStart"/>
      <w:r w:rsidR="001A09BE" w:rsidRPr="001A09BE">
        <w:rPr>
          <w:rFonts w:ascii="Times New Roman" w:eastAsia="Times New Roman" w:hAnsi="Times New Roman" w:cs="Times New Roman"/>
          <w:sz w:val="24"/>
          <w:szCs w:val="24"/>
          <w:lang w:val="en-US" w:eastAsia="es-ES"/>
        </w:rPr>
        <w:t>franquicias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cuarto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eléctrico</w:t>
      </w:r>
      <w:proofErr w:type="spellEnd"/>
      <w:r w:rsidR="001A09BE" w:rsidRPr="001A09BE">
        <w:rPr>
          <w:rFonts w:ascii="Times New Roman" w:eastAsia="Times New Roman" w:hAnsi="Times New Roman" w:cs="Times New Roman"/>
          <w:sz w:val="24"/>
          <w:szCs w:val="24"/>
          <w:lang w:val="en-US" w:eastAsia="es-ES"/>
        </w:rPr>
        <w:t xml:space="preserve"> y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administración</w:t>
      </w:r>
      <w:proofErr w:type="spellEnd"/>
      <w:r w:rsidR="001A09BE" w:rsidRPr="001A09BE">
        <w:rPr>
          <w:rFonts w:ascii="Times New Roman" w:eastAsia="Times New Roman" w:hAnsi="Times New Roman" w:cs="Times New Roman"/>
          <w:sz w:val="24"/>
          <w:szCs w:val="24"/>
          <w:lang w:val="en-US" w:eastAsia="es-ES"/>
        </w:rPr>
        <w:t xml:space="preserve"> de la plaza; el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cerrada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útil</w:t>
      </w:r>
      <w:proofErr w:type="spellEnd"/>
      <w:r w:rsidR="001A09BE" w:rsidRPr="001A09BE">
        <w:rPr>
          <w:rFonts w:ascii="Times New Roman" w:eastAsia="Times New Roman" w:hAnsi="Times New Roman" w:cs="Times New Roman"/>
          <w:sz w:val="24"/>
          <w:szCs w:val="24"/>
          <w:lang w:val="en-US" w:eastAsia="es-ES"/>
        </w:rPr>
        <w:t xml:space="preserve"> del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es</w:t>
      </w:r>
      <w:proofErr w:type="spellEnd"/>
      <w:r w:rsidR="001A09BE" w:rsidRPr="001A09BE">
        <w:rPr>
          <w:rFonts w:ascii="Times New Roman" w:eastAsia="Times New Roman" w:hAnsi="Times New Roman" w:cs="Times New Roman"/>
          <w:sz w:val="24"/>
          <w:szCs w:val="24"/>
          <w:lang w:val="en-US" w:eastAsia="es-ES"/>
        </w:rPr>
        <w:t xml:space="preserve"> de 17563.63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también</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incluye</w:t>
      </w:r>
      <w:proofErr w:type="spellEnd"/>
      <w:r w:rsidR="001A09BE" w:rsidRPr="001A09BE">
        <w:rPr>
          <w:rFonts w:ascii="Times New Roman" w:eastAsia="Times New Roman" w:hAnsi="Times New Roman" w:cs="Times New Roman"/>
          <w:sz w:val="24"/>
          <w:szCs w:val="24"/>
          <w:lang w:val="en-US" w:eastAsia="es-ES"/>
        </w:rPr>
        <w:t xml:space="preserve"> 481 </w:t>
      </w:r>
      <w:proofErr w:type="spellStart"/>
      <w:r w:rsidR="001A09BE" w:rsidRPr="001A09BE">
        <w:rPr>
          <w:rFonts w:ascii="Times New Roman" w:eastAsia="Times New Roman" w:hAnsi="Times New Roman" w:cs="Times New Roman"/>
          <w:sz w:val="24"/>
          <w:szCs w:val="24"/>
          <w:lang w:val="en-US" w:eastAsia="es-ES"/>
        </w:rPr>
        <w:t>estacionamientos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24 son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discapacitados</w:t>
      </w:r>
      <w:proofErr w:type="spellEnd"/>
      <w:r w:rsidR="001A09BE" w:rsidRPr="001A09BE">
        <w:rPr>
          <w:rFonts w:ascii="Times New Roman" w:eastAsia="Times New Roman" w:hAnsi="Times New Roman" w:cs="Times New Roman"/>
          <w:sz w:val="24"/>
          <w:szCs w:val="24"/>
          <w:lang w:val="en-US" w:eastAsia="es-ES"/>
        </w:rPr>
        <w:t xml:space="preserve"> y 457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comercial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un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de 6782.03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verdes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una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superficie</w:t>
      </w:r>
      <w:proofErr w:type="spellEnd"/>
      <w:r w:rsidR="001A09BE" w:rsidRPr="001A09BE">
        <w:rPr>
          <w:rFonts w:ascii="Times New Roman" w:eastAsia="Times New Roman" w:hAnsi="Times New Roman" w:cs="Times New Roman"/>
          <w:sz w:val="24"/>
          <w:szCs w:val="24"/>
          <w:lang w:val="en-US" w:eastAsia="es-ES"/>
        </w:rPr>
        <w:t xml:space="preserve"> total de 2428.89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s-ES" w:eastAsia="es-ES"/>
        </w:rPr>
        <w:t>.</w:t>
      </w:r>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w:t>
      </w:r>
      <w:proofErr w:type="gramStart"/>
      <w:r w:rsidR="001A09BE" w:rsidRPr="001A09BE">
        <w:rPr>
          <w:rFonts w:ascii="Times New Roman" w:eastAsia="Times New Roman" w:hAnsi="Times New Roman" w:cs="Times New Roman"/>
          <w:sz w:val="24"/>
          <w:szCs w:val="24"/>
          <w:lang w:val="en-US" w:eastAsia="es-ES"/>
        </w:rPr>
        <w:t>del</w:t>
      </w:r>
      <w:proofErr w:type="gram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se </w:t>
      </w:r>
      <w:proofErr w:type="spellStart"/>
      <w:r w:rsidR="001A09BE" w:rsidRPr="001A09BE">
        <w:rPr>
          <w:rFonts w:ascii="Times New Roman" w:eastAsia="Times New Roman" w:hAnsi="Times New Roman" w:cs="Times New Roman"/>
          <w:sz w:val="24"/>
          <w:szCs w:val="24"/>
          <w:lang w:val="en-US" w:eastAsia="es-ES"/>
        </w:rPr>
        <w:t>manejarán</w:t>
      </w:r>
      <w:proofErr w:type="spellEnd"/>
      <w:r w:rsidR="001A09BE" w:rsidRPr="001A09BE">
        <w:rPr>
          <w:rFonts w:ascii="Times New Roman" w:eastAsia="Times New Roman" w:hAnsi="Times New Roman" w:cs="Times New Roman"/>
          <w:sz w:val="24"/>
          <w:szCs w:val="24"/>
          <w:lang w:val="en-US" w:eastAsia="es-ES"/>
        </w:rPr>
        <w:t xml:space="preserve"> a </w:t>
      </w:r>
      <w:proofErr w:type="spellStart"/>
      <w:r w:rsidR="001A09BE" w:rsidRPr="001A09BE">
        <w:rPr>
          <w:rFonts w:ascii="Times New Roman" w:eastAsia="Times New Roman" w:hAnsi="Times New Roman" w:cs="Times New Roman"/>
          <w:sz w:val="24"/>
          <w:szCs w:val="24"/>
          <w:lang w:val="en-US" w:eastAsia="es-ES"/>
        </w:rPr>
        <w:t>través</w:t>
      </w:r>
      <w:proofErr w:type="spellEnd"/>
      <w:r w:rsidR="001A09BE" w:rsidRPr="001A09BE">
        <w:rPr>
          <w:rFonts w:ascii="Times New Roman" w:eastAsia="Times New Roman" w:hAnsi="Times New Roman" w:cs="Times New Roman"/>
          <w:sz w:val="24"/>
          <w:szCs w:val="24"/>
          <w:lang w:val="en-US" w:eastAsia="es-ES"/>
        </w:rPr>
        <w:t xml:space="preserve"> de planta de </w:t>
      </w:r>
      <w:proofErr w:type="spellStart"/>
      <w:r w:rsidR="001A09BE" w:rsidRPr="001A09BE">
        <w:rPr>
          <w:rFonts w:ascii="Times New Roman" w:eastAsia="Times New Roman" w:hAnsi="Times New Roman" w:cs="Times New Roman"/>
          <w:sz w:val="24"/>
          <w:szCs w:val="24"/>
          <w:lang w:val="en-US" w:eastAsia="es-ES"/>
        </w:rPr>
        <w:t>tratamiento</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descargará</w:t>
      </w:r>
      <w:proofErr w:type="spellEnd"/>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a un </w:t>
      </w:r>
      <w:proofErr w:type="spellStart"/>
      <w:r w:rsidR="001A09BE" w:rsidRPr="001A09BE">
        <w:rPr>
          <w:rFonts w:ascii="Times New Roman" w:eastAsia="Times New Roman" w:hAnsi="Times New Roman" w:cs="Times New Roman"/>
          <w:sz w:val="24"/>
          <w:szCs w:val="24"/>
          <w:lang w:val="en-US" w:eastAsia="es-ES"/>
        </w:rPr>
        <w:t>lecho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percolador</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proofErr w:type="gram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se</w:t>
      </w:r>
      <w:proofErr w:type="gram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ubicará</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coordenada</w:t>
      </w:r>
      <w:proofErr w:type="spellEnd"/>
      <w:r w:rsidR="001A09BE" w:rsidRPr="001A09BE">
        <w:rPr>
          <w:rFonts w:ascii="Times New Roman" w:eastAsia="Times New Roman" w:hAnsi="Times New Roman" w:cs="Times New Roman"/>
          <w:sz w:val="24"/>
          <w:szCs w:val="24"/>
          <w:lang w:val="en-US" w:eastAsia="es-ES"/>
        </w:rPr>
        <w:t>: 941330.06 N – 343286.94 E</w:t>
      </w:r>
      <w:r w:rsidRPr="00DB1D63">
        <w:rPr>
          <w:rFonts w:ascii="Times New Roman" w:eastAsia="Times New Roman" w:hAnsi="Times New Roman" w:cs="Times New Roman"/>
          <w:sz w:val="24"/>
          <w:szCs w:val="24"/>
          <w:lang w:val="es-ES" w:eastAsia="es-ES"/>
        </w:rPr>
        <w:t>.</w:t>
      </w:r>
      <w:r w:rsidR="00BA705C" w:rsidRPr="00BA705C">
        <w:rPr>
          <w:rFonts w:ascii="Times New Roman" w:eastAsia="Times New Roman" w:hAnsi="Times New Roman" w:cs="Times New Roman"/>
          <w:sz w:val="23"/>
          <w:szCs w:val="23"/>
          <w:lang w:val="es-ES" w:eastAsia="es-ES"/>
        </w:rPr>
        <w:t xml:space="preserve"> </w:t>
      </w:r>
      <w:r w:rsidR="00BA705C" w:rsidRPr="00BA705C">
        <w:rPr>
          <w:rFonts w:ascii="Times New Roman" w:eastAsia="Times New Roman" w:hAnsi="Times New Roman" w:cs="Times New Roman"/>
          <w:sz w:val="23"/>
          <w:szCs w:val="23"/>
          <w:lang w:val="es-ES" w:eastAsia="es-ES"/>
        </w:rPr>
        <w:t xml:space="preserve">El área total de construcción es </w:t>
      </w:r>
      <w:r w:rsidR="00BA705C" w:rsidRPr="00BA705C">
        <w:rPr>
          <w:rFonts w:ascii="Times New Roman" w:eastAsia="Calibri" w:hAnsi="Calibri" w:cs="Times New Roman"/>
          <w:sz w:val="24"/>
          <w:lang w:val="en-US"/>
        </w:rPr>
        <w:t>39,998.65 m</w:t>
      </w:r>
      <w:r w:rsidR="00BA705C" w:rsidRPr="00BA705C">
        <w:rPr>
          <w:rFonts w:ascii="Times New Roman" w:eastAsia="Calibri" w:hAnsi="Calibri" w:cs="Times New Roman"/>
          <w:position w:val="9"/>
          <w:sz w:val="16"/>
          <w:lang w:val="en-US"/>
        </w:rPr>
        <w:t>2</w:t>
      </w:r>
      <w:r w:rsidR="00BA705C" w:rsidRPr="00BA705C">
        <w:rPr>
          <w:rFonts w:ascii="Times New Roman" w:eastAsia="Times New Roman" w:hAnsi="Times New Roman" w:cs="Times New Roman"/>
          <w:sz w:val="23"/>
          <w:szCs w:val="23"/>
          <w:lang w:val="es-ES" w:eastAsia="es-ES"/>
        </w:rPr>
        <w:t>.</w:t>
      </w:r>
    </w:p>
    <w:p w:rsidR="00BA705C" w:rsidRPr="00BA705C" w:rsidRDefault="00DB1D63" w:rsidP="006A3AD1">
      <w:pPr>
        <w:spacing w:line="360" w:lineRule="auto"/>
        <w:jc w:val="both"/>
        <w:rPr>
          <w:rFonts w:ascii="Times New Roman" w:eastAsia="Times New Roman" w:hAnsi="Times New Roman" w:cs="Times New Roman"/>
          <w:sz w:val="24"/>
          <w:szCs w:val="24"/>
          <w:lang w:eastAsia="es-PA"/>
        </w:rPr>
      </w:pPr>
      <w:r w:rsidRPr="00DB1D63">
        <w:rPr>
          <w:rFonts w:ascii="Times New Roman" w:eastAsia="Times New Roman" w:hAnsi="Times New Roman" w:cs="Times New Roman"/>
          <w:bCs/>
          <w:sz w:val="24"/>
          <w:szCs w:val="24"/>
          <w:lang w:val="es-ES" w:eastAsia="es-ES"/>
        </w:rPr>
        <w:t xml:space="preserve">El terreno donde se desarrollará el proyecto se encuentra registrado con el número de finca: folio Real No. </w:t>
      </w:r>
      <w:r w:rsidR="00BA705C" w:rsidRPr="00BA705C">
        <w:rPr>
          <w:rFonts w:ascii="Times New Roman" w:eastAsia="Times New Roman" w:hAnsi="Times New Roman" w:cs="Times New Roman"/>
          <w:sz w:val="24"/>
          <w:szCs w:val="24"/>
          <w:lang w:val="es-ES" w:eastAsia="es-ES"/>
        </w:rPr>
        <w:t xml:space="preserve">Folio Real 7899,  con Código de ubicación 4601; que cuentan  con </w:t>
      </w:r>
      <w:r w:rsidR="00BA705C" w:rsidRPr="00BA705C">
        <w:rPr>
          <w:rFonts w:ascii="Times New Roman" w:eastAsia="Times New Roman" w:hAnsi="Times New Roman" w:cs="Times New Roman"/>
          <w:sz w:val="24"/>
          <w:szCs w:val="24"/>
          <w:lang w:eastAsia="es-PA"/>
        </w:rPr>
        <w:t xml:space="preserve"> una superficie actual de </w:t>
      </w:r>
      <w:r w:rsidR="00BA705C" w:rsidRPr="00BA705C">
        <w:rPr>
          <w:rFonts w:ascii="Times New Roman" w:eastAsia="Times New Roman" w:hAnsi="Times New Roman" w:cs="Times New Roman"/>
          <w:sz w:val="23"/>
          <w:szCs w:val="23"/>
          <w:lang w:val="es-ES" w:eastAsia="es-ES"/>
        </w:rPr>
        <w:t>4 ha más 15 dm.,</w:t>
      </w:r>
      <w:r w:rsidR="00BA705C" w:rsidRPr="00BA705C">
        <w:rPr>
          <w:rFonts w:ascii="Times New Roman" w:eastAsia="Times New Roman" w:hAnsi="Times New Roman" w:cs="Times New Roman"/>
          <w:sz w:val="24"/>
          <w:szCs w:val="24"/>
          <w:lang w:eastAsia="es-PA"/>
        </w:rPr>
        <w:t xml:space="preserve"> cuyo propietario es la empresa </w:t>
      </w:r>
      <w:proofErr w:type="gramStart"/>
      <w:r w:rsidR="00BA705C" w:rsidRPr="00BA705C">
        <w:rPr>
          <w:rFonts w:ascii="Times New Roman" w:eastAsia="Times New Roman" w:hAnsi="Times New Roman" w:cs="Times New Roman"/>
          <w:sz w:val="24"/>
          <w:szCs w:val="24"/>
          <w:lang w:eastAsia="es-PA"/>
        </w:rPr>
        <w:t xml:space="preserve">promotora </w:t>
      </w:r>
      <w:r w:rsidR="00BA705C" w:rsidRPr="00BA705C">
        <w:rPr>
          <w:rFonts w:ascii="Times New Roman" w:eastAsia="Times New Roman" w:hAnsi="Times New Roman" w:cs="Times New Roman"/>
          <w:b/>
          <w:bCs/>
          <w:sz w:val="24"/>
          <w:szCs w:val="24"/>
          <w:lang w:val="es-ES" w:eastAsia="es-ES"/>
        </w:rPr>
        <w:t>,</w:t>
      </w:r>
      <w:proofErr w:type="gramEnd"/>
      <w:r w:rsidR="00BA705C" w:rsidRPr="00BA705C">
        <w:rPr>
          <w:rFonts w:ascii="Times New Roman" w:eastAsia="Times New Roman" w:hAnsi="Times New Roman" w:cs="Times New Roman"/>
          <w:b/>
          <w:bCs/>
          <w:sz w:val="24"/>
          <w:szCs w:val="24"/>
          <w:lang w:val="es-ES" w:eastAsia="es-PA"/>
        </w:rPr>
        <w:t xml:space="preserve"> </w:t>
      </w:r>
      <w:r w:rsidR="00BA705C" w:rsidRPr="00BA705C">
        <w:rPr>
          <w:rFonts w:ascii="Times New Roman" w:eastAsia="Times New Roman" w:hAnsi="Times New Roman" w:cs="Times New Roman"/>
          <w:bCs/>
          <w:sz w:val="24"/>
          <w:szCs w:val="24"/>
          <w:lang w:val="es-MX" w:eastAsia="es-PA"/>
        </w:rPr>
        <w:t xml:space="preserve">la misma se encuentra </w:t>
      </w:r>
      <w:r w:rsidR="00BA705C" w:rsidRPr="00BA705C">
        <w:rPr>
          <w:rFonts w:ascii="Times New Roman" w:eastAsia="Times New Roman" w:hAnsi="Times New Roman" w:cs="Times New Roman"/>
          <w:sz w:val="24"/>
          <w:szCs w:val="24"/>
          <w:lang w:val="es-ES" w:eastAsia="es-ES"/>
        </w:rPr>
        <w:t xml:space="preserve">ubicada en el corregimiento de Los Algarrobos , distrito de </w:t>
      </w:r>
      <w:proofErr w:type="spellStart"/>
      <w:r w:rsidR="00BA705C" w:rsidRPr="00BA705C">
        <w:rPr>
          <w:rFonts w:ascii="Times New Roman" w:eastAsia="Times New Roman" w:hAnsi="Times New Roman" w:cs="Times New Roman"/>
          <w:sz w:val="24"/>
          <w:szCs w:val="24"/>
          <w:lang w:val="es-ES" w:eastAsia="es-ES"/>
        </w:rPr>
        <w:t>Dolega</w:t>
      </w:r>
      <w:proofErr w:type="spellEnd"/>
      <w:r w:rsidR="00BA705C" w:rsidRPr="00BA705C">
        <w:rPr>
          <w:rFonts w:ascii="Times New Roman" w:eastAsia="Times New Roman" w:hAnsi="Times New Roman" w:cs="Times New Roman"/>
          <w:sz w:val="24"/>
          <w:szCs w:val="24"/>
          <w:lang w:val="es-ES" w:eastAsia="es-ES"/>
        </w:rPr>
        <w:t>, provincia de Chiriquí.</w:t>
      </w:r>
      <w:r w:rsidR="00BA705C" w:rsidRPr="00BA705C">
        <w:rPr>
          <w:rFonts w:ascii="Times New Roman" w:eastAsia="Times New Roman" w:hAnsi="Times New Roman" w:cs="Times New Roman"/>
          <w:sz w:val="24"/>
          <w:szCs w:val="24"/>
          <w:lang w:eastAsia="es-PA"/>
        </w:rPr>
        <w:t xml:space="preserve"> </w:t>
      </w:r>
    </w:p>
    <w:p w:rsidR="00BA705C" w:rsidRPr="00BA705C" w:rsidRDefault="00BA705C" w:rsidP="006A3AD1">
      <w:pPr>
        <w:autoSpaceDE w:val="0"/>
        <w:autoSpaceDN w:val="0"/>
        <w:adjustRightInd w:val="0"/>
        <w:spacing w:line="360" w:lineRule="auto"/>
        <w:jc w:val="both"/>
        <w:rPr>
          <w:rFonts w:ascii="Times New Roman" w:eastAsia="Times New Roman" w:hAnsi="Times New Roman" w:cs="Times New Roman"/>
          <w:bCs/>
          <w:sz w:val="24"/>
          <w:szCs w:val="24"/>
          <w:lang w:val="es-ES" w:eastAsia="es-ES"/>
        </w:rPr>
      </w:pPr>
      <w:r w:rsidRPr="00BA705C">
        <w:rPr>
          <w:rFonts w:ascii="Times New Roman" w:eastAsia="Times New Roman" w:hAnsi="Times New Roman" w:cs="Times New Roman"/>
          <w:bCs/>
          <w:sz w:val="24"/>
          <w:szCs w:val="24"/>
          <w:lang w:val="es-ES" w:eastAsia="es-ES"/>
        </w:rPr>
        <w:t>El monto total de la inversión se estima en cinco millones Balboas con 00/100 (B/. 5</w:t>
      </w:r>
      <w:proofErr w:type="gramStart"/>
      <w:r w:rsidRPr="00BA705C">
        <w:rPr>
          <w:rFonts w:ascii="Times New Roman" w:eastAsia="Times New Roman" w:hAnsi="Times New Roman" w:cs="Times New Roman"/>
          <w:bCs/>
          <w:sz w:val="24"/>
          <w:szCs w:val="24"/>
          <w:lang w:val="es-ES" w:eastAsia="es-ES"/>
        </w:rPr>
        <w:t>,000,000.00</w:t>
      </w:r>
      <w:proofErr w:type="gramEnd"/>
      <w:r w:rsidRPr="00BA705C">
        <w:rPr>
          <w:rFonts w:ascii="Times New Roman" w:eastAsia="Times New Roman" w:hAnsi="Times New Roman" w:cs="Times New Roman"/>
          <w:bCs/>
          <w:sz w:val="24"/>
          <w:szCs w:val="24"/>
          <w:lang w:val="es-ES" w:eastAsia="es-ES"/>
        </w:rPr>
        <w:t>).</w:t>
      </w:r>
    </w:p>
    <w:p w:rsidR="00DB1D63" w:rsidRPr="00702F3C" w:rsidRDefault="00DB1D63" w:rsidP="006A3AD1">
      <w:pPr>
        <w:spacing w:after="0" w:line="36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 xml:space="preserve">De acuerdo al </w:t>
      </w:r>
      <w:proofErr w:type="spellStart"/>
      <w:r w:rsidRPr="00702F3C">
        <w:rPr>
          <w:rFonts w:ascii="Times New Roman" w:eastAsia="Times New Roman" w:hAnsi="Times New Roman" w:cs="Times New Roman"/>
          <w:bCs/>
          <w:sz w:val="24"/>
          <w:szCs w:val="24"/>
          <w:lang w:val="es-ES" w:eastAsia="es-ES"/>
        </w:rPr>
        <w:t>EsIA</w:t>
      </w:r>
      <w:proofErr w:type="spellEnd"/>
      <w:r w:rsidRPr="00702F3C">
        <w:rPr>
          <w:rFonts w:ascii="Times New Roman" w:eastAsia="Times New Roman" w:hAnsi="Times New Roman" w:cs="Times New Roman"/>
          <w:bCs/>
          <w:sz w:val="24"/>
          <w:szCs w:val="24"/>
          <w:lang w:val="es-ES" w:eastAsia="es-ES"/>
        </w:rPr>
        <w:t>, el proyecto se construirá en las coordenadas UTM (DATUM WGS-84) ubicadas en los siguientes puntos:</w:t>
      </w:r>
    </w:p>
    <w:p w:rsidR="00DB1D63" w:rsidRPr="00DB1D63" w:rsidRDefault="00DB1D63" w:rsidP="006A3AD1">
      <w:pPr>
        <w:spacing w:after="0" w:line="360" w:lineRule="auto"/>
        <w:jc w:val="both"/>
        <w:rPr>
          <w:rFonts w:ascii="Times New Roman" w:eastAsia="Times New Roman" w:hAnsi="Times New Roman" w:cs="Times New Roman"/>
          <w:spacing w:val="-3"/>
          <w:sz w:val="24"/>
          <w:szCs w:val="24"/>
          <w:lang w:val="es-ES" w:eastAsia="es-ES"/>
        </w:rPr>
      </w:pPr>
    </w:p>
    <w:p w:rsidR="00DB1D63" w:rsidRDefault="00DB1D63" w:rsidP="006A3AD1">
      <w:pPr>
        <w:spacing w:after="0" w:line="360" w:lineRule="auto"/>
        <w:jc w:val="both"/>
        <w:rPr>
          <w:rFonts w:ascii="Times New Roman" w:eastAsia="Times New Roman" w:hAnsi="Times New Roman" w:cs="Times New Roman"/>
          <w:spacing w:val="-3"/>
          <w:sz w:val="24"/>
          <w:szCs w:val="24"/>
          <w:lang w:val="es-ES" w:eastAsia="es-E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jc w:val="center"/>
              <w:rPr>
                <w:rFonts w:ascii="Times New Roman" w:eastAsia="Calibri" w:hAnsi="Times New Roman" w:cs="Times New Roman"/>
                <w:b/>
              </w:rPr>
            </w:pPr>
          </w:p>
          <w:p w:rsidR="00BA705C" w:rsidRPr="00BA705C" w:rsidRDefault="00BA705C" w:rsidP="00BA705C">
            <w:pPr>
              <w:jc w:val="center"/>
              <w:rPr>
                <w:rFonts w:ascii="Times New Roman" w:eastAsia="Calibri" w:hAnsi="Times New Roman" w:cs="Times New Roman"/>
                <w:b/>
              </w:rPr>
            </w:pPr>
            <w:r w:rsidRPr="00BA705C">
              <w:rPr>
                <w:rFonts w:ascii="Times New Roman" w:eastAsia="Calibri" w:hAnsi="Times New Roman" w:cs="Times New Roman"/>
                <w:b/>
              </w:rPr>
              <w:t>PUNTO</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91"/>
              <w:ind w:right="2"/>
              <w:jc w:val="center"/>
              <w:rPr>
                <w:rFonts w:ascii="Times New Roman" w:eastAsia="Times New Roman" w:hAnsi="Times New Roman" w:cs="Times New Roman"/>
                <w:sz w:val="24"/>
                <w:szCs w:val="24"/>
              </w:rPr>
            </w:pPr>
            <w:r w:rsidRPr="00BA705C">
              <w:rPr>
                <w:rFonts w:ascii="Times New Roman" w:eastAsia="Calibri" w:hAnsi="Calibri" w:cs="Times New Roman"/>
                <w:b/>
                <w:sz w:val="24"/>
              </w:rPr>
              <w:t>ESTE</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91"/>
              <w:ind w:left="774"/>
              <w:rPr>
                <w:rFonts w:ascii="Times New Roman" w:eastAsia="Times New Roman" w:hAnsi="Times New Roman" w:cs="Times New Roman"/>
                <w:sz w:val="24"/>
                <w:szCs w:val="24"/>
              </w:rPr>
            </w:pPr>
            <w:r w:rsidRPr="00BA705C">
              <w:rPr>
                <w:rFonts w:ascii="Times New Roman" w:eastAsia="Calibri" w:hAnsi="Calibri" w:cs="Times New Roman"/>
                <w:b/>
                <w:sz w:val="24"/>
              </w:rPr>
              <w:t>NORTE</w:t>
            </w:r>
          </w:p>
        </w:tc>
      </w:tr>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1</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343311.46</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941425.87</w:t>
            </w:r>
          </w:p>
        </w:tc>
      </w:tr>
      <w:tr w:rsidR="00BA705C" w:rsidRPr="00BA705C" w:rsidTr="008513B3">
        <w:trPr>
          <w:trHeight w:hRule="exact" w:val="593"/>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2</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343298.57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941303.00</w:t>
            </w:r>
          </w:p>
        </w:tc>
      </w:tr>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3</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343056.18</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941345.87</w:t>
            </w:r>
          </w:p>
        </w:tc>
      </w:tr>
      <w:tr w:rsidR="00BA705C" w:rsidRPr="00BA705C" w:rsidTr="008513B3">
        <w:trPr>
          <w:trHeight w:hRule="exact" w:val="591"/>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4</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343035.51</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941296.72</w:t>
            </w:r>
          </w:p>
        </w:tc>
      </w:tr>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5</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342983.87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941292.35</w:t>
            </w:r>
          </w:p>
        </w:tc>
      </w:tr>
      <w:tr w:rsidR="00BA705C" w:rsidRPr="00BA705C" w:rsidTr="008513B3">
        <w:trPr>
          <w:trHeight w:hRule="exact" w:val="59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6</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342961.42</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941373.28</w:t>
            </w:r>
          </w:p>
        </w:tc>
      </w:tr>
      <w:tr w:rsidR="00BA705C" w:rsidRPr="00BA705C" w:rsidTr="008513B3">
        <w:trPr>
          <w:trHeight w:hRule="exact" w:val="61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7</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343018.57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941381.77</w:t>
            </w:r>
          </w:p>
        </w:tc>
      </w:tr>
      <w:tr w:rsidR="00BA705C" w:rsidRPr="00BA705C" w:rsidTr="008513B3">
        <w:trPr>
          <w:trHeight w:hRule="exact" w:val="59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8</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343050.65</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941484.43</w:t>
            </w:r>
          </w:p>
        </w:tc>
      </w:tr>
      <w:tr w:rsidR="00BA705C" w:rsidRPr="00BA705C" w:rsidTr="008513B3">
        <w:trPr>
          <w:trHeight w:hRule="exact" w:val="423"/>
        </w:trPr>
        <w:tc>
          <w:tcPr>
            <w:tcW w:w="6563" w:type="dxa"/>
            <w:gridSpan w:val="3"/>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rPr>
                <w:rFonts w:ascii="Calibri" w:eastAsia="Calibri" w:hAnsi="Calibri" w:cs="Times New Roman"/>
              </w:rPr>
            </w:pPr>
          </w:p>
        </w:tc>
      </w:tr>
      <w:tr w:rsidR="00BA705C" w:rsidRPr="00BA705C" w:rsidTr="008513B3">
        <w:trPr>
          <w:trHeight w:hRule="exact" w:val="1253"/>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line="360" w:lineRule="auto"/>
              <w:ind w:left="179" w:right="177" w:hanging="3"/>
              <w:jc w:val="center"/>
              <w:rPr>
                <w:rFonts w:ascii="Times New Roman" w:eastAsia="Times New Roman" w:hAnsi="Times New Roman" w:cs="Times New Roman"/>
                <w:sz w:val="24"/>
                <w:szCs w:val="24"/>
              </w:rPr>
            </w:pPr>
            <w:proofErr w:type="spellStart"/>
            <w:r w:rsidRPr="00BA705C">
              <w:rPr>
                <w:rFonts w:ascii="Times New Roman" w:eastAsia="Calibri" w:hAnsi="Times New Roman" w:cs="Times New Roman"/>
                <w:b/>
                <w:spacing w:val="-1"/>
                <w:sz w:val="24"/>
              </w:rPr>
              <w:t>Ubicación</w:t>
            </w:r>
            <w:proofErr w:type="spellEnd"/>
            <w:r w:rsidRPr="00BA705C">
              <w:rPr>
                <w:rFonts w:ascii="Times New Roman" w:eastAsia="Calibri" w:hAnsi="Times New Roman" w:cs="Times New Roman"/>
                <w:b/>
                <w:spacing w:val="26"/>
                <w:sz w:val="24"/>
              </w:rPr>
              <w:t xml:space="preserve"> </w:t>
            </w:r>
            <w:r w:rsidRPr="00BA705C">
              <w:rPr>
                <w:rFonts w:ascii="Times New Roman" w:eastAsia="Calibri" w:hAnsi="Times New Roman" w:cs="Times New Roman"/>
                <w:b/>
                <w:sz w:val="24"/>
              </w:rPr>
              <w:t>Planta</w:t>
            </w:r>
            <w:r w:rsidRPr="00BA705C">
              <w:rPr>
                <w:rFonts w:ascii="Times New Roman" w:eastAsia="Calibri" w:hAnsi="Times New Roman" w:cs="Times New Roman"/>
                <w:b/>
                <w:spacing w:val="-1"/>
                <w:sz w:val="24"/>
              </w:rPr>
              <w:t xml:space="preserve"> </w:t>
            </w:r>
            <w:r w:rsidRPr="00BA705C">
              <w:rPr>
                <w:rFonts w:ascii="Times New Roman" w:eastAsia="Calibri" w:hAnsi="Times New Roman" w:cs="Times New Roman"/>
                <w:b/>
                <w:sz w:val="24"/>
              </w:rPr>
              <w:t xml:space="preserve">de </w:t>
            </w:r>
            <w:proofErr w:type="spellStart"/>
            <w:r w:rsidRPr="00BA705C">
              <w:rPr>
                <w:rFonts w:ascii="Times New Roman" w:eastAsia="Calibri" w:hAnsi="Times New Roman" w:cs="Times New Roman"/>
                <w:b/>
                <w:spacing w:val="-1"/>
                <w:sz w:val="24"/>
              </w:rPr>
              <w:t>Tratamientoo</w:t>
            </w:r>
            <w:proofErr w:type="spellEnd"/>
            <w:r w:rsidRPr="00BA705C">
              <w:rPr>
                <w:rFonts w:ascii="Times New Roman" w:eastAsia="Calibri" w:hAnsi="Times New Roman" w:cs="Times New Roman"/>
                <w:spacing w:val="-1"/>
                <w:sz w:val="24"/>
              </w:rPr>
              <w:t>.</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6"/>
              <w:rPr>
                <w:rFonts w:ascii="Times New Roman" w:eastAsia="Times New Roman" w:hAnsi="Times New Roman" w:cs="Times New Roman"/>
                <w:b/>
                <w:bCs/>
                <w:sz w:val="35"/>
                <w:szCs w:val="35"/>
              </w:rPr>
            </w:pPr>
          </w:p>
          <w:p w:rsidR="00BA705C" w:rsidRPr="00BA705C" w:rsidRDefault="00BA705C" w:rsidP="00BA705C">
            <w:pPr>
              <w:ind w:left="690"/>
              <w:rPr>
                <w:rFonts w:ascii="Times New Roman" w:eastAsia="Times New Roman" w:hAnsi="Times New Roman" w:cs="Times New Roman"/>
                <w:sz w:val="24"/>
                <w:szCs w:val="24"/>
              </w:rPr>
            </w:pPr>
            <w:r w:rsidRPr="00BA705C">
              <w:rPr>
                <w:rFonts w:ascii="Times New Roman" w:eastAsia="Calibri" w:hAnsi="Calibri" w:cs="Times New Roman"/>
                <w:sz w:val="24"/>
              </w:rPr>
              <w:t>343286.94</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BA705C">
            <w:pPr>
              <w:spacing w:before="6"/>
              <w:rPr>
                <w:rFonts w:ascii="Times New Roman" w:eastAsia="Times New Roman" w:hAnsi="Times New Roman" w:cs="Times New Roman"/>
                <w:b/>
                <w:bCs/>
                <w:sz w:val="35"/>
                <w:szCs w:val="35"/>
              </w:rPr>
            </w:pPr>
          </w:p>
          <w:p w:rsidR="00BA705C" w:rsidRPr="00BA705C" w:rsidRDefault="00BA705C" w:rsidP="00BA705C">
            <w:pPr>
              <w:ind w:left="692"/>
              <w:rPr>
                <w:rFonts w:ascii="Times New Roman" w:eastAsia="Times New Roman" w:hAnsi="Times New Roman" w:cs="Times New Roman"/>
                <w:sz w:val="24"/>
                <w:szCs w:val="24"/>
              </w:rPr>
            </w:pPr>
            <w:r w:rsidRPr="00BA705C">
              <w:rPr>
                <w:rFonts w:ascii="Times New Roman" w:eastAsia="Calibri" w:hAnsi="Calibri" w:cs="Times New Roman"/>
                <w:sz w:val="24"/>
              </w:rPr>
              <w:t>941330.06</w:t>
            </w:r>
          </w:p>
        </w:tc>
      </w:tr>
    </w:tbl>
    <w:p w:rsidR="00720EC7" w:rsidRPr="00DB1D63" w:rsidRDefault="00720EC7" w:rsidP="00DB1D63">
      <w:pPr>
        <w:spacing w:after="0"/>
        <w:jc w:val="both"/>
        <w:rPr>
          <w:rFonts w:ascii="Times New Roman" w:eastAsia="Times New Roman" w:hAnsi="Times New Roman" w:cs="Times New Roman"/>
          <w:spacing w:val="-3"/>
          <w:sz w:val="24"/>
          <w:szCs w:val="24"/>
          <w:lang w:val="es-ES" w:eastAsia="es-ES"/>
        </w:rPr>
      </w:pPr>
    </w:p>
    <w:p w:rsidR="00AB2954" w:rsidRPr="00AB2954" w:rsidRDefault="00DB1D63" w:rsidP="006A3AD1">
      <w:pPr>
        <w:spacing w:line="360" w:lineRule="auto"/>
        <w:jc w:val="both"/>
        <w:rPr>
          <w:rFonts w:ascii="Times New Roman" w:eastAsia="Times New Roman" w:hAnsi="Times New Roman" w:cs="Times New Roman"/>
          <w:color w:val="000000"/>
          <w:sz w:val="24"/>
          <w:szCs w:val="24"/>
          <w:lang w:val="es-ES" w:eastAsia="es-ES"/>
        </w:rPr>
      </w:pPr>
      <w:r w:rsidRPr="00702F3C">
        <w:rPr>
          <w:rFonts w:ascii="Times New Roman" w:hAnsi="Times New Roman" w:cs="Times New Roman"/>
          <w:spacing w:val="-3"/>
          <w:sz w:val="24"/>
          <w:szCs w:val="24"/>
          <w:lang w:val="es-ES_tradnl"/>
        </w:rPr>
        <w:t xml:space="preserve">Que mediante </w:t>
      </w:r>
      <w:r>
        <w:rPr>
          <w:rFonts w:ascii="Times New Roman" w:hAnsi="Times New Roman" w:cs="Times New Roman"/>
          <w:b/>
          <w:color w:val="000000"/>
          <w:sz w:val="24"/>
          <w:szCs w:val="24"/>
        </w:rPr>
        <w:t>PROVEÍDO DRCH-ADM-0</w:t>
      </w:r>
      <w:r w:rsidR="00BA705C">
        <w:rPr>
          <w:rFonts w:ascii="Times New Roman" w:hAnsi="Times New Roman" w:cs="Times New Roman"/>
          <w:b/>
          <w:color w:val="000000"/>
          <w:sz w:val="24"/>
          <w:szCs w:val="24"/>
        </w:rPr>
        <w:t>76</w:t>
      </w:r>
      <w:r w:rsidRPr="00460DB9">
        <w:rPr>
          <w:rFonts w:ascii="Times New Roman" w:hAnsi="Times New Roman" w:cs="Times New Roman"/>
          <w:b/>
          <w:color w:val="000000"/>
          <w:sz w:val="24"/>
          <w:szCs w:val="24"/>
        </w:rPr>
        <w:t>-2019</w:t>
      </w:r>
      <w:r>
        <w:rPr>
          <w:rFonts w:ascii="Times New Roman" w:hAnsi="Times New Roman" w:cs="Times New Roman"/>
          <w:color w:val="000000"/>
          <w:sz w:val="24"/>
          <w:szCs w:val="24"/>
        </w:rPr>
        <w:t>, de 1</w:t>
      </w:r>
      <w:r w:rsidR="00BA705C">
        <w:rPr>
          <w:rFonts w:ascii="Times New Roman" w:hAnsi="Times New Roman" w:cs="Times New Roman"/>
          <w:color w:val="000000"/>
          <w:sz w:val="24"/>
          <w:szCs w:val="24"/>
        </w:rPr>
        <w:t>5</w:t>
      </w:r>
      <w:r w:rsidRPr="00460DB9">
        <w:rPr>
          <w:rFonts w:ascii="Times New Roman" w:hAnsi="Times New Roman" w:cs="Times New Roman"/>
          <w:color w:val="000000"/>
          <w:sz w:val="24"/>
          <w:szCs w:val="24"/>
        </w:rPr>
        <w:t xml:space="preserve"> de julio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
        </w:rPr>
        <w:t>”,</w:t>
      </w:r>
      <w:r w:rsidR="00AB2954">
        <w:rPr>
          <w:rFonts w:ascii="Times New Roman" w:hAnsi="Times New Roman" w:cs="Times New Roman"/>
          <w:b/>
          <w:sz w:val="24"/>
          <w:szCs w:val="24"/>
          <w:lang w:val="es-ES"/>
        </w:rPr>
        <w:t xml:space="preserve"> </w:t>
      </w:r>
      <w:r w:rsidR="00AB2954" w:rsidRPr="00AB2954">
        <w:rPr>
          <w:rFonts w:ascii="Times New Roman" w:eastAsia="Times New Roman" w:hAnsi="Times New Roman" w:cs="Times New Roman"/>
          <w:color w:val="000000"/>
          <w:sz w:val="24"/>
          <w:szCs w:val="24"/>
          <w:lang w:val="es-ES" w:eastAsia="es-ES"/>
        </w:rPr>
        <w:t>en virtud de lo establecido para tales efectos en el Decreto Ejecutivo No. 123 de 14 de agosto de 2009, modificado por el Decreto Ejecutivo No. 155 de 5 de agosto de 2011</w:t>
      </w:r>
      <w:r w:rsidR="00AB2954" w:rsidRPr="00AB2954">
        <w:rPr>
          <w:rFonts w:ascii="Times New Roman" w:eastAsia="Times New Roman" w:hAnsi="Times New Roman" w:cs="Times New Roman"/>
          <w:sz w:val="24"/>
          <w:szCs w:val="24"/>
          <w:lang w:val="es-ES" w:eastAsia="es-ES"/>
        </w:rPr>
        <w:t xml:space="preserve"> </w:t>
      </w:r>
      <w:r w:rsidR="00AB2954" w:rsidRPr="00AB2954">
        <w:rPr>
          <w:rFonts w:ascii="Times New Roman" w:eastAsia="Times New Roman" w:hAnsi="Times New Roman" w:cs="Times New Roman"/>
          <w:color w:val="000000"/>
          <w:sz w:val="24"/>
          <w:szCs w:val="24"/>
          <w:lang w:val="es-ES" w:eastAsia="es-ES"/>
        </w:rPr>
        <w:t>Decreto Ejecutivo No. 36 del 03 de junio de 2019 y demás normas complementarias y concordantes.</w:t>
      </w:r>
    </w:p>
    <w:p w:rsidR="00DB1D63" w:rsidRPr="00702F3C" w:rsidRDefault="00DB1D63" w:rsidP="006A3AD1">
      <w:pPr>
        <w:pStyle w:val="Textoindependiente"/>
        <w:spacing w:before="240" w:line="360" w:lineRule="auto"/>
        <w:rPr>
          <w:color w:val="000000"/>
          <w:spacing w:val="0"/>
          <w:sz w:val="24"/>
          <w:szCs w:val="24"/>
        </w:rPr>
      </w:pPr>
      <w:r w:rsidRPr="001C506E">
        <w:rPr>
          <w:color w:val="000000"/>
          <w:spacing w:val="0"/>
          <w:sz w:val="24"/>
          <w:szCs w:val="24"/>
        </w:rPr>
        <w:t>Que como parte del proceso de evaluación, se verific</w:t>
      </w:r>
      <w:r w:rsidR="00AB2954">
        <w:rPr>
          <w:color w:val="000000"/>
          <w:spacing w:val="0"/>
          <w:sz w:val="24"/>
          <w:szCs w:val="24"/>
        </w:rPr>
        <w:t>ó</w:t>
      </w:r>
      <w:r w:rsidRPr="001C506E">
        <w:rPr>
          <w:color w:val="000000"/>
          <w:spacing w:val="0"/>
          <w:sz w:val="24"/>
          <w:szCs w:val="24"/>
        </w:rPr>
        <w:t xml:space="preserve"> las coordenadas presentadas en el estudio de impacto ambiental en la Dirección de Evaluación y Ordenamiento Ambiental, en la cual dio como resultado el área aproximada del polígono es de </w:t>
      </w:r>
      <w:r w:rsidR="00AB2954">
        <w:rPr>
          <w:color w:val="000000"/>
          <w:spacing w:val="0"/>
          <w:sz w:val="24"/>
          <w:szCs w:val="24"/>
        </w:rPr>
        <w:t>4</w:t>
      </w:r>
      <w:r w:rsidRPr="00BC3D0E">
        <w:rPr>
          <w:color w:val="000000"/>
          <w:spacing w:val="0"/>
          <w:sz w:val="24"/>
          <w:szCs w:val="24"/>
        </w:rPr>
        <w:t xml:space="preserve"> ha + </w:t>
      </w:r>
      <w:r w:rsidR="00AB2954">
        <w:rPr>
          <w:color w:val="000000"/>
          <w:spacing w:val="0"/>
          <w:sz w:val="24"/>
          <w:szCs w:val="24"/>
        </w:rPr>
        <w:t>1,432</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DB1D63" w:rsidRPr="00702F3C" w:rsidRDefault="00DB1D63" w:rsidP="006A3AD1">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A3AD1" w:rsidRDefault="00DB1D63" w:rsidP="006A3AD1">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6A3AD1">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w:t>
      </w:r>
      <w:proofErr w:type="gramStart"/>
      <w:r w:rsidRPr="00702F3C">
        <w:rPr>
          <w:rFonts w:ascii="Times New Roman" w:eastAsia="Calibri" w:hAnsi="Times New Roman" w:cs="Times New Roman"/>
          <w:sz w:val="24"/>
          <w:szCs w:val="24"/>
          <w:lang w:val="es-ES"/>
        </w:rPr>
        <w:t>relativa</w:t>
      </w:r>
      <w:proofErr w:type="gramEnd"/>
      <w:r w:rsidRPr="00702F3C">
        <w:rPr>
          <w:rFonts w:ascii="Times New Roman" w:eastAsia="Calibri" w:hAnsi="Times New Roman" w:cs="Times New Roman"/>
          <w:sz w:val="24"/>
          <w:szCs w:val="24"/>
          <w:lang w:val="es-ES"/>
        </w:rPr>
        <w:t xml:space="preserve"> al ambiente donde diga Autoridad Nacional del Ambiente (ANAM) se entenderá Ministerio de Ambiente; </w:t>
      </w:r>
    </w:p>
    <w:p w:rsidR="00DB1D63" w:rsidRPr="00702F3C" w:rsidRDefault="00DB1D63" w:rsidP="006A3AD1">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DB1D6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6A3AD1">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001A09BE">
        <w:rPr>
          <w:rFonts w:eastAsia="Calibri"/>
          <w:b/>
          <w:sz w:val="24"/>
          <w:szCs w:val="24"/>
          <w:lang w:val="es-ES"/>
        </w:rPr>
        <w:t>INVERSIONES LOS ALGARROBOS , S.A.</w:t>
      </w:r>
      <w:r w:rsidRPr="00DB1D63">
        <w:rPr>
          <w:rFonts w:eastAsia="Calibri"/>
          <w:b/>
          <w:sz w:val="24"/>
          <w:szCs w:val="24"/>
          <w:lang w:val="es-ES"/>
        </w:rPr>
        <w:t>.</w:t>
      </w:r>
      <w:proofErr w:type="gramStart"/>
      <w:r w:rsidRPr="00702F3C">
        <w:rPr>
          <w:bCs/>
          <w:color w:val="000000"/>
          <w:sz w:val="24"/>
          <w:szCs w:val="24"/>
        </w:rPr>
        <w:t>,</w:t>
      </w:r>
      <w:proofErr w:type="gramEnd"/>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6A3AD1">
      <w:pPr>
        <w:pStyle w:val="Textoindependiente"/>
        <w:widowControl/>
        <w:spacing w:line="360" w:lineRule="auto"/>
        <w:rPr>
          <w:color w:val="000000"/>
          <w:sz w:val="24"/>
          <w:szCs w:val="24"/>
          <w:highlight w:val="yellow"/>
        </w:rPr>
      </w:pPr>
    </w:p>
    <w:p w:rsidR="00DB1D63" w:rsidRPr="00702F3C" w:rsidRDefault="00DB1D63" w:rsidP="006A3AD1">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1A09BE">
        <w:rPr>
          <w:rFonts w:ascii="Times New Roman" w:hAnsi="Times New Roman" w:cs="Times New Roman"/>
          <w:b/>
          <w:color w:val="000000"/>
          <w:sz w:val="24"/>
          <w:szCs w:val="24"/>
        </w:rPr>
        <w:t>INVERSIONES LOS ALGARROBOS , S.A.</w:t>
      </w:r>
      <w:r w:rsidRPr="00DB1D63">
        <w:rPr>
          <w:rFonts w:ascii="Times New Roman" w:hAnsi="Times New Roman" w:cs="Times New Roman"/>
          <w:b/>
          <w:color w:val="000000"/>
          <w:sz w:val="24"/>
          <w:szCs w:val="24"/>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6A3AD1">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DB1D63" w:rsidRPr="00702F3C" w:rsidRDefault="00DB1D63" w:rsidP="006A3AD1">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1A09BE">
        <w:rPr>
          <w:rFonts w:ascii="Times New Roman" w:eastAsia="Calibri" w:hAnsi="Times New Roman" w:cs="Times New Roman"/>
          <w:b/>
          <w:sz w:val="24"/>
          <w:szCs w:val="24"/>
          <w:lang w:val="es-ES"/>
        </w:rPr>
        <w:t>INVERSIONES LOS ALGARROBOS , S.A.</w:t>
      </w:r>
      <w:r w:rsidRPr="00DB1D63">
        <w:rPr>
          <w:rFonts w:ascii="Times New Roman" w:eastAsia="Calibri" w:hAnsi="Times New Roman" w:cs="Times New Roman"/>
          <w:b/>
          <w:sz w:val="24"/>
          <w:szCs w:val="24"/>
          <w:lang w:val="es-ES"/>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6A3AD1">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DB1D63" w:rsidRPr="00702F3C" w:rsidRDefault="00DB1D63" w:rsidP="006A3AD1">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6A3AD1">
        <w:rPr>
          <w:rFonts w:ascii="Times New Roman" w:hAnsi="Times New Roman" w:cs="Times New Roman"/>
          <w:b/>
          <w:spacing w:val="-3"/>
          <w:sz w:val="24"/>
          <w:szCs w:val="24"/>
          <w:lang w:val="es-ES_tradnl"/>
        </w:rPr>
        <w:t>JUAN CARLOS GONZALEZ ABADIA</w:t>
      </w:r>
      <w:r w:rsidR="006A3AD1" w:rsidRPr="00DB1D63">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6A3AD1">
      <w:pPr>
        <w:spacing w:after="0" w:line="360" w:lineRule="auto"/>
        <w:jc w:val="both"/>
        <w:rPr>
          <w:rFonts w:ascii="Times New Roman" w:eastAsia="Times New Roman" w:hAnsi="Times New Roman" w:cs="Times New Roman"/>
          <w:spacing w:val="-3"/>
          <w:sz w:val="24"/>
          <w:szCs w:val="24"/>
          <w:lang w:val="es-ES" w:eastAsia="es-ES"/>
        </w:rPr>
      </w:pP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Colocar, dentro del área del  Proyecto y antes de iniciar su ejecución en campo, un letrero en un lugar visible con el contenido establecido en formato adjunto en la resolución que lo aprueba.</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 xml:space="preserve">Presentar ante la Dirección  Regional del Ministerio de Ambiente de Chiriquí, cada tres (3) meses,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Aplicar medidas de control de suspensión de partículas de polvo, las veces que sea necesario para garantizar la no afectación de las estructuras  colindantes al área del proyecto.</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 xml:space="preserve">Reportar de inmediato al Instituto Nacional de Cultura, </w:t>
      </w:r>
      <w:r w:rsidRPr="00203790">
        <w:rPr>
          <w:rFonts w:ascii="Times New Roman" w:eastAsia="Times New Roman" w:hAnsi="Times New Roman" w:cs="Times New Roman"/>
          <w:b/>
          <w:spacing w:val="-3"/>
          <w:sz w:val="24"/>
          <w:szCs w:val="24"/>
          <w:lang w:val="es-ES_tradnl" w:eastAsia="es-ES"/>
        </w:rPr>
        <w:t>INAC</w:t>
      </w:r>
      <w:r w:rsidRPr="00203790">
        <w:rPr>
          <w:rFonts w:ascii="Times New Roman" w:eastAsia="Times New Roman" w:hAnsi="Times New Roman" w:cs="Times New Roman"/>
          <w:spacing w:val="-3"/>
          <w:sz w:val="24"/>
          <w:szCs w:val="24"/>
          <w:lang w:val="es-ES_tradnl" w:eastAsia="es-ES"/>
        </w:rPr>
        <w:t xml:space="preserve">, el hallazgo de cualquier objeto de valor histórico o arqueológico para realizar el respectivo rescate. </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Hacer la reparaciones, sustituciones o indemnizaciones pertinentes en caso tal de afectar los bienes propios del estado y de terceros.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Mantener informada a la comunidad de los trabajos a ejecutar, señalizar el área de manera continua hasta la culminación de los trabajos, con letreros informativos y preventivos, con la finalidad de evitar accidentes.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Reglamento DGNTI-COPANIT-44-2000 “Higiene y Seguridad Condiciones de higiene y seguridad en ambientes de trabajo donde se generen ruidos”.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r w:rsidRPr="00203790">
        <w:rPr>
          <w:rFonts w:ascii="Times New Roman" w:eastAsia="Times New Roman" w:hAnsi="Times New Roman" w:cs="Times New Roman"/>
          <w:spacing w:val="-3"/>
          <w:sz w:val="24"/>
          <w:szCs w:val="24"/>
          <w:lang w:eastAsia="es-ES"/>
        </w:rPr>
        <w:t>”.</w:t>
      </w:r>
    </w:p>
    <w:p w:rsidR="00203790" w:rsidRPr="00203790" w:rsidRDefault="00A1368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El promotor deberá tomar en cuenta las recomendaciones emitidas por el consultor en el Estudio de Impacto Ambiental referentes al diseño de la Planta de Tratamiento de Aguas Residuales.</w:t>
      </w:r>
    </w:p>
    <w:p w:rsidR="00203790" w:rsidRP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203790" w:rsidRDefault="00203790" w:rsidP="006A3AD1">
      <w:pPr>
        <w:numPr>
          <w:ilvl w:val="0"/>
          <w:numId w:val="2"/>
        </w:numPr>
        <w:spacing w:after="0" w:line="36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Cualquier conflicto que se presente, en lo que respecta a la población afectada por el desarrollo del proyecto, el promotor actuará siempre mostrando su mejor disposición a conciliar con las partes actuando de buena fe.</w:t>
      </w:r>
    </w:p>
    <w:p w:rsidR="006A3AD1" w:rsidRPr="00203790" w:rsidRDefault="006A3AD1" w:rsidP="006A3AD1">
      <w:pPr>
        <w:spacing w:after="0" w:line="360" w:lineRule="auto"/>
        <w:ind w:left="1080"/>
        <w:jc w:val="both"/>
        <w:rPr>
          <w:rFonts w:ascii="Times New Roman" w:eastAsia="Times New Roman" w:hAnsi="Times New Roman" w:cs="Times New Roman"/>
          <w:spacing w:val="-3"/>
          <w:sz w:val="24"/>
          <w:szCs w:val="24"/>
          <w:lang w:eastAsia="es-ES"/>
        </w:rPr>
      </w:pPr>
    </w:p>
    <w:p w:rsidR="00DB1D63" w:rsidRDefault="00DB1D63" w:rsidP="006A3AD1">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DB1D63" w:rsidRDefault="00DB1D63" w:rsidP="006A3AD1">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DB1D63" w:rsidRDefault="00DB1D63" w:rsidP="006A3AD1">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6A3AD1" w:rsidRDefault="00DB1D63" w:rsidP="006A3AD1">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r w:rsidR="006A3AD1">
        <w:rPr>
          <w:rFonts w:ascii="Times New Roman" w:hAnsi="Times New Roman" w:cs="Times New Roman"/>
          <w:spacing w:val="-3"/>
          <w:sz w:val="24"/>
          <w:szCs w:val="24"/>
          <w:lang w:val="es-ES_tradnl"/>
        </w:rPr>
        <w:t xml:space="preserve"> </w:t>
      </w:r>
    </w:p>
    <w:p w:rsidR="00DB1D63" w:rsidRPr="00702F3C" w:rsidRDefault="00DB1D63" w:rsidP="006A3AD1">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6A3AD1">
        <w:rPr>
          <w:rFonts w:ascii="Times New Roman" w:eastAsia="Calibri" w:hAnsi="Times New Roman" w:cs="Times New Roman"/>
          <w:b/>
          <w:sz w:val="24"/>
          <w:szCs w:val="24"/>
          <w:lang w:val="es-ES"/>
        </w:rPr>
        <w:t xml:space="preserve">JUAN CARLOS GONZALEZ ABADIA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A3AD1" w:rsidRDefault="006A3AD1" w:rsidP="006A3AD1">
      <w:pPr>
        <w:tabs>
          <w:tab w:val="left" w:pos="0"/>
        </w:tabs>
        <w:suppressAutoHyphens/>
        <w:spacing w:after="0" w:line="360" w:lineRule="auto"/>
        <w:jc w:val="both"/>
        <w:rPr>
          <w:rFonts w:ascii="Times New Roman" w:hAnsi="Times New Roman" w:cs="Times New Roman"/>
          <w:b/>
          <w:spacing w:val="-3"/>
          <w:sz w:val="24"/>
          <w:szCs w:val="24"/>
        </w:rPr>
      </w:pPr>
    </w:p>
    <w:p w:rsidR="00DB1D63" w:rsidRPr="00702F3C" w:rsidRDefault="00DB1D63" w:rsidP="006A3AD1">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6A3AD1">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F070FC" w:rsidRPr="00702F3C" w:rsidRDefault="00F070FC" w:rsidP="006A3AD1">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DB1D63" w:rsidRPr="00702F3C" w:rsidRDefault="00DB1D63" w:rsidP="006A3AD1">
      <w:pPr>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w:t>
      </w:r>
      <w:proofErr w:type="spellStart"/>
      <w:r w:rsidR="006A3AD1">
        <w:rPr>
          <w:rFonts w:ascii="Times New Roman" w:hAnsi="Times New Roman" w:cs="Times New Roman"/>
          <w:color w:val="000000"/>
          <w:spacing w:val="-3"/>
          <w:sz w:val="24"/>
          <w:szCs w:val="24"/>
          <w:u w:val="single"/>
          <w:lang w:val="es-ES_tradnl"/>
        </w:rPr>
        <w:t>veintitres</w:t>
      </w:r>
      <w:proofErr w:type="spellEnd"/>
      <w:r w:rsidRPr="00702F3C">
        <w:rPr>
          <w:rFonts w:ascii="Times New Roman" w:hAnsi="Times New Roman" w:cs="Times New Roman"/>
          <w:color w:val="000000"/>
          <w:spacing w:val="-3"/>
          <w:sz w:val="24"/>
          <w:szCs w:val="24"/>
          <w:lang w:val="es-ES_tradnl"/>
        </w:rPr>
        <w:t>_ (_</w:t>
      </w:r>
      <w:r w:rsidR="006A3AD1" w:rsidRPr="006A3AD1">
        <w:rPr>
          <w:rFonts w:ascii="Times New Roman" w:hAnsi="Times New Roman" w:cs="Times New Roman"/>
          <w:color w:val="000000"/>
          <w:spacing w:val="-3"/>
          <w:sz w:val="24"/>
          <w:szCs w:val="24"/>
          <w:u w:val="single"/>
          <w:lang w:val="es-ES_tradnl"/>
        </w:rPr>
        <w:t>23</w:t>
      </w:r>
      <w:r w:rsidRPr="00702F3C">
        <w:rPr>
          <w:rFonts w:ascii="Times New Roman" w:hAnsi="Times New Roman" w:cs="Times New Roman"/>
          <w:color w:val="000000"/>
          <w:spacing w:val="-3"/>
          <w:sz w:val="24"/>
          <w:szCs w:val="24"/>
          <w:lang w:val="es-ES_tradnl"/>
        </w:rPr>
        <w:t xml:space="preserve">_) días, del mes de </w:t>
      </w:r>
      <w:proofErr w:type="gramStart"/>
      <w:r w:rsidR="006A3AD1" w:rsidRPr="006A3AD1">
        <w:rPr>
          <w:rFonts w:ascii="Times New Roman" w:hAnsi="Times New Roman" w:cs="Times New Roman"/>
          <w:color w:val="000000"/>
          <w:spacing w:val="-3"/>
          <w:sz w:val="24"/>
          <w:szCs w:val="24"/>
          <w:u w:val="single"/>
          <w:lang w:val="es-ES_tradnl"/>
        </w:rPr>
        <w:t>septiembre</w:t>
      </w:r>
      <w:r w:rsidR="006A3AD1">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w:t>
      </w:r>
      <w:proofErr w:type="gramEnd"/>
      <w:r w:rsidRPr="00702F3C">
        <w:rPr>
          <w:rFonts w:ascii="Times New Roman" w:hAnsi="Times New Roman" w:cs="Times New Roman"/>
          <w:color w:val="000000"/>
          <w:spacing w:val="-3"/>
          <w:sz w:val="24"/>
          <w:szCs w:val="24"/>
          <w:lang w:val="es-ES_tradnl"/>
        </w:rPr>
        <w:t xml:space="preserve"> del año dos mil diecinueve (2019).</w:t>
      </w:r>
    </w:p>
    <w:p w:rsidR="00DB1D63" w:rsidRPr="00702F3C" w:rsidRDefault="00DB1D63" w:rsidP="006A3AD1">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DB1D63" w:rsidRPr="00702F3C" w:rsidRDefault="00DB1D63" w:rsidP="006A3AD1">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DB1D63">
      <w:pPr>
        <w:spacing w:after="0" w:line="240" w:lineRule="auto"/>
        <w:jc w:val="both"/>
        <w:rPr>
          <w:rFonts w:ascii="Times New Roman" w:eastAsia="Calibri" w:hAnsi="Times New Roman" w:cs="Times New Roman"/>
          <w:b/>
          <w:sz w:val="24"/>
          <w:szCs w:val="24"/>
          <w:lang w:val="es-ES"/>
        </w:rPr>
      </w:pPr>
    </w:p>
    <w:p w:rsidR="00DB1D63" w:rsidRDefault="00DB1D63" w:rsidP="00DB1D63">
      <w:pPr>
        <w:spacing w:after="0" w:line="240" w:lineRule="auto"/>
        <w:jc w:val="both"/>
        <w:rPr>
          <w:rFonts w:ascii="Times New Roman" w:eastAsia="Calibri" w:hAnsi="Times New Roman" w:cs="Times New Roman"/>
          <w:b/>
          <w:sz w:val="24"/>
          <w:szCs w:val="24"/>
          <w:lang w:val="es-ES"/>
        </w:rPr>
      </w:pPr>
    </w:p>
    <w:p w:rsidR="00F070FC" w:rsidRDefault="00F070FC" w:rsidP="00DB1D63">
      <w:pPr>
        <w:spacing w:after="0" w:line="240" w:lineRule="auto"/>
        <w:jc w:val="both"/>
        <w:rPr>
          <w:rFonts w:ascii="Times New Roman" w:eastAsia="Calibri" w:hAnsi="Times New Roman" w:cs="Times New Roman"/>
          <w:b/>
          <w:sz w:val="24"/>
          <w:szCs w:val="24"/>
          <w:lang w:val="es-ES"/>
        </w:rPr>
      </w:pPr>
    </w:p>
    <w:p w:rsidR="00F070FC" w:rsidRPr="00702F3C" w:rsidRDefault="00F070FC" w:rsidP="00DB1D63">
      <w:pPr>
        <w:spacing w:after="0" w:line="240" w:lineRule="auto"/>
        <w:jc w:val="both"/>
        <w:rPr>
          <w:rFonts w:ascii="Times New Roman" w:eastAsia="Calibri" w:hAnsi="Times New Roman" w:cs="Times New Roman"/>
          <w:b/>
          <w:sz w:val="24"/>
          <w:szCs w:val="24"/>
          <w:lang w:val="es-ES"/>
        </w:rPr>
      </w:pPr>
    </w:p>
    <w:p w:rsidR="00DB1D63" w:rsidRPr="00702F3C" w:rsidRDefault="00DB1D63" w:rsidP="00DB1D63">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DB1D63" w:rsidP="005A4B13">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5A4B13">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5A4B13">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5A4B13">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DB1D63" w:rsidRPr="00BA19E0" w:rsidRDefault="00DB1D63" w:rsidP="00DB1D63">
      <w:pPr>
        <w:spacing w:after="0" w:line="360" w:lineRule="auto"/>
        <w:jc w:val="center"/>
        <w:rPr>
          <w:rFonts w:ascii="Times New Roman" w:hAnsi="Times New Roman" w:cs="Times New Roman"/>
          <w:b/>
          <w:spacing w:val="-3"/>
          <w:sz w:val="24"/>
          <w:szCs w:val="24"/>
          <w:lang w:val="es-ES_tradnl"/>
        </w:rPr>
      </w:pPr>
      <w:bookmarkStart w:id="0" w:name="_GoBack"/>
      <w:bookmarkEnd w:id="0"/>
      <w:r w:rsidRPr="00BA19E0">
        <w:rPr>
          <w:rFonts w:ascii="Times New Roman" w:hAnsi="Times New Roman" w:cs="Times New Roman"/>
          <w:b/>
          <w:spacing w:val="-3"/>
          <w:sz w:val="24"/>
          <w:szCs w:val="24"/>
          <w:lang w:val="es-ES_tradnl"/>
        </w:rPr>
        <w:t>ADJUNTO</w:t>
      </w:r>
    </w:p>
    <w:p w:rsidR="00DB1D63" w:rsidRPr="00BA19E0" w:rsidRDefault="00DB1D63" w:rsidP="00DB1D63">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DB1D63">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DB1D63">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Utilizará lámina galvanizada, calibre 16, de 6 pies x 3 pies.</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El letrero deberá ser legible a una distancia de 15 a 20 metros.</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DB1D63">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693E9C">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1A09BE">
              <w:rPr>
                <w:rFonts w:ascii="Times New Roman" w:hAnsi="Times New Roman" w:cs="Times New Roman"/>
                <w:b/>
                <w:sz w:val="24"/>
                <w:szCs w:val="24"/>
                <w:lang w:val="es-ES_tradnl"/>
              </w:rPr>
              <w:t>PLAZA COMERCIAL PORTA NOVA</w:t>
            </w:r>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693E9C">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693E9C">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1A09BE">
              <w:rPr>
                <w:rFonts w:ascii="Times New Roman" w:hAnsi="Times New Roman" w:cs="Times New Roman"/>
                <w:b/>
                <w:sz w:val="24"/>
                <w:szCs w:val="24"/>
              </w:rPr>
              <w:t xml:space="preserve">INVERSIONES LOS ALGARROBOS , </w:t>
            </w:r>
            <w:proofErr w:type="gramStart"/>
            <w:r w:rsidR="001A09BE">
              <w:rPr>
                <w:rFonts w:ascii="Times New Roman" w:hAnsi="Times New Roman" w:cs="Times New Roman"/>
                <w:b/>
                <w:sz w:val="24"/>
                <w:szCs w:val="24"/>
              </w:rPr>
              <w:t>S.A.</w:t>
            </w:r>
            <w:r w:rsidRPr="00DB1D63">
              <w:rPr>
                <w:rFonts w:ascii="Times New Roman" w:hAnsi="Times New Roman" w:cs="Times New Roman"/>
                <w:b/>
                <w:sz w:val="24"/>
                <w:szCs w:val="24"/>
              </w:rPr>
              <w:t>.</w:t>
            </w:r>
            <w:proofErr w:type="gramEnd"/>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693E9C">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6A3AD1">
              <w:rPr>
                <w:rFonts w:ascii="Times New Roman" w:hAnsi="Times New Roman" w:cs="Times New Roman"/>
                <w:b/>
                <w:spacing w:val="-3"/>
                <w:sz w:val="24"/>
                <w:szCs w:val="24"/>
                <w:lang w:val="es-ES"/>
              </w:rPr>
              <w:t>4HA + 15 dm</w:t>
            </w:r>
            <w:r w:rsidRPr="00DB1D63">
              <w:rPr>
                <w:rFonts w:ascii="Times New Roman" w:hAnsi="Times New Roman" w:cs="Times New Roman"/>
                <w:b/>
                <w:spacing w:val="-3"/>
                <w:sz w:val="24"/>
                <w:szCs w:val="24"/>
                <w:vertAlign w:val="superscript"/>
                <w:lang w:val="es-ES"/>
              </w:rPr>
              <w:t>2</w:t>
            </w:r>
          </w:p>
          <w:p w:rsidR="00DB1D63" w:rsidRPr="00BA19E0" w:rsidRDefault="00DB1D63" w:rsidP="00693E9C">
            <w:pPr>
              <w:spacing w:line="360" w:lineRule="auto"/>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DB1D63">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693E9C">
            <w:pPr>
              <w:rPr>
                <w:rFonts w:ascii="Times New Roman" w:hAnsi="Times New Roman" w:cs="Times New Roman"/>
                <w:sz w:val="24"/>
                <w:szCs w:val="24"/>
                <w:lang w:val="es-ES_tradnl"/>
              </w:rPr>
            </w:pPr>
          </w:p>
          <w:p w:rsidR="00DB1D63" w:rsidRPr="00BA19E0" w:rsidRDefault="00DB1D63" w:rsidP="00693E9C">
            <w:pPr>
              <w:rPr>
                <w:rFonts w:ascii="Times New Roman" w:hAnsi="Times New Roman" w:cs="Times New Roman"/>
                <w:sz w:val="24"/>
                <w:szCs w:val="24"/>
                <w:lang w:val="es-ES_tradnl"/>
              </w:rPr>
            </w:pPr>
          </w:p>
          <w:p w:rsidR="00DB1D63" w:rsidRPr="00BA19E0" w:rsidRDefault="00DB1D63" w:rsidP="00693E9C">
            <w:pPr>
              <w:rPr>
                <w:rFonts w:ascii="Times New Roman" w:hAnsi="Times New Roman" w:cs="Times New Roman"/>
                <w:sz w:val="24"/>
                <w:szCs w:val="24"/>
                <w:lang w:val="es-ES_tradnl"/>
              </w:rPr>
            </w:pPr>
          </w:p>
        </w:tc>
        <w:tc>
          <w:tcPr>
            <w:tcW w:w="4230"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DB1D63">
      <w:pPr>
        <w:tabs>
          <w:tab w:val="left" w:pos="0"/>
        </w:tabs>
        <w:suppressAutoHyphens/>
        <w:spacing w:after="0" w:line="360" w:lineRule="auto"/>
        <w:jc w:val="both"/>
        <w:rPr>
          <w:rFonts w:ascii="Times New Roman" w:hAnsi="Times New Roman" w:cs="Times New Roman"/>
          <w:color w:val="0000FF"/>
          <w:sz w:val="24"/>
          <w:szCs w:val="24"/>
        </w:rPr>
      </w:pPr>
    </w:p>
    <w:p w:rsidR="00DB1D63" w:rsidRDefault="00DB1D63" w:rsidP="00DB1D63"/>
    <w:p w:rsidR="00DB1D63" w:rsidRDefault="00DB1D63" w:rsidP="00DB1D63"/>
    <w:sectPr w:rsidR="00DB1D63" w:rsidSect="006A3AD1">
      <w:footerReference w:type="default" r:id="rId8"/>
      <w:footerReference w:type="first" r:id="rId9"/>
      <w:pgSz w:w="12240" w:h="20160" w:code="5"/>
      <w:pgMar w:top="1165" w:right="1440" w:bottom="1440" w:left="1440"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80" w:rsidRDefault="00A13680" w:rsidP="00DB1D63">
      <w:pPr>
        <w:spacing w:after="0" w:line="240" w:lineRule="auto"/>
      </w:pPr>
      <w:r>
        <w:separator/>
      </w:r>
    </w:p>
  </w:endnote>
  <w:endnote w:type="continuationSeparator" w:id="0">
    <w:p w:rsidR="00A13680" w:rsidRDefault="00A13680"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w:t>
        </w:r>
        <w:r w:rsidR="006A3AD1">
          <w:rPr>
            <w:rFonts w:ascii="Times New Roman" w:eastAsiaTheme="majorEastAsia" w:hAnsi="Times New Roman" w:cs="Times New Roman"/>
            <w:sz w:val="16"/>
            <w:szCs w:val="16"/>
            <w:lang w:val="es-ES"/>
          </w:rPr>
          <w:t>-100</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6A3AD1">
          <w:rPr>
            <w:rFonts w:ascii="Times New Roman" w:eastAsiaTheme="majorEastAsia" w:hAnsi="Times New Roman" w:cs="Times New Roman"/>
            <w:sz w:val="16"/>
            <w:szCs w:val="16"/>
            <w:lang w:val="es-ES"/>
          </w:rPr>
          <w:t>23-09</w:t>
        </w:r>
        <w:r w:rsidR="00FE4E4F" w:rsidRPr="001C506E">
          <w:rPr>
            <w:rFonts w:ascii="Times New Roman" w:eastAsiaTheme="majorEastAsia" w:hAnsi="Times New Roman" w:cs="Times New Roman"/>
            <w:sz w:val="16"/>
            <w:szCs w:val="16"/>
            <w:lang w:val="es-ES"/>
          </w:rPr>
          <w:t>-2019</w:t>
        </w:r>
      </w:p>
    </w:sdtContent>
  </w:sdt>
  <w:p w:rsidR="00D67A3D" w:rsidRDefault="00A136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-075</w:t>
        </w:r>
        <w:r w:rsidRPr="00E150E1">
          <w:rPr>
            <w:rFonts w:ascii="Times New Roman" w:eastAsiaTheme="majorEastAsia" w:hAnsi="Times New Roman" w:cs="Times New Roman"/>
            <w:sz w:val="16"/>
            <w:szCs w:val="16"/>
            <w:lang w:val="es-ES"/>
          </w:rPr>
          <w:t>- 2019</w:t>
        </w:r>
      </w:p>
      <w:p w:rsidR="007A0A51" w:rsidRPr="007A0A51" w:rsidRDefault="00DB1D6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Pr>
            <w:rFonts w:ascii="Times New Roman" w:eastAsiaTheme="majorEastAsia" w:hAnsi="Times New Roman" w:cs="Times New Roman"/>
            <w:sz w:val="16"/>
            <w:szCs w:val="16"/>
            <w:lang w:val="es-ES"/>
          </w:rPr>
          <w:t>-2019</w:t>
        </w:r>
      </w:p>
    </w:sdtContent>
  </w:sdt>
  <w:p w:rsidR="007A0A51" w:rsidRDefault="00A136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80" w:rsidRDefault="00A13680" w:rsidP="00DB1D63">
      <w:pPr>
        <w:spacing w:after="0" w:line="240" w:lineRule="auto"/>
      </w:pPr>
      <w:r>
        <w:separator/>
      </w:r>
    </w:p>
  </w:footnote>
  <w:footnote w:type="continuationSeparator" w:id="0">
    <w:p w:rsidR="00A13680" w:rsidRDefault="00A13680" w:rsidP="00DB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90471"/>
    <w:rsid w:val="001A09BE"/>
    <w:rsid w:val="001A754D"/>
    <w:rsid w:val="00203790"/>
    <w:rsid w:val="0046243A"/>
    <w:rsid w:val="005A4B13"/>
    <w:rsid w:val="006A3AD1"/>
    <w:rsid w:val="00720EC7"/>
    <w:rsid w:val="00A13680"/>
    <w:rsid w:val="00AB2954"/>
    <w:rsid w:val="00AB399A"/>
    <w:rsid w:val="00B429A8"/>
    <w:rsid w:val="00BA705C"/>
    <w:rsid w:val="00D0311F"/>
    <w:rsid w:val="00DB1D63"/>
    <w:rsid w:val="00E150E1"/>
    <w:rsid w:val="00F070FC"/>
    <w:rsid w:val="00FE4E4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2167</Words>
  <Characters>11922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Iovana Barraza</cp:lastModifiedBy>
  <cp:revision>3</cp:revision>
  <cp:lastPrinted>2019-08-08T18:56:00Z</cp:lastPrinted>
  <dcterms:created xsi:type="dcterms:W3CDTF">2019-09-23T17:47:00Z</dcterms:created>
  <dcterms:modified xsi:type="dcterms:W3CDTF">2019-09-23T17:56:00Z</dcterms:modified>
</cp:coreProperties>
</file>