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A0" w:rsidRPr="00995FA0" w:rsidRDefault="00995FA0" w:rsidP="00995F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ES"/>
        </w:rPr>
      </w:pP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ES"/>
        </w:rPr>
        <w:t>MINISTERIO DE AMBIENTE</w:t>
      </w:r>
    </w:p>
    <w:p w:rsidR="00995FA0" w:rsidRPr="00995FA0" w:rsidRDefault="000D6CB8" w:rsidP="000D6CB8">
      <w:pPr>
        <w:tabs>
          <w:tab w:val="center" w:pos="49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</w:r>
      <w:r w:rsidR="00995FA0"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DIRECCION REGIONAL DE CHIRIQUÍ</w:t>
      </w:r>
    </w:p>
    <w:p w:rsidR="00995FA0" w:rsidRPr="00995FA0" w:rsidRDefault="00995FA0" w:rsidP="00995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INFORME DE REVISION DE CONTENIDOS MINIMOS DE ESTUDIO DE IMPACTO AMBIENTAL</w:t>
      </w:r>
    </w:p>
    <w:p w:rsidR="00995FA0" w:rsidRPr="00995FA0" w:rsidRDefault="00995FA0" w:rsidP="00995F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919"/>
      </w:tblGrid>
      <w:tr w:rsidR="00995FA0" w:rsidRPr="00995FA0" w:rsidTr="000A2037">
        <w:trPr>
          <w:trHeight w:val="599"/>
        </w:trPr>
        <w:tc>
          <w:tcPr>
            <w:tcW w:w="2870" w:type="dxa"/>
          </w:tcPr>
          <w:p w:rsidR="00995FA0" w:rsidRPr="00995FA0" w:rsidRDefault="00995FA0" w:rsidP="00995FA0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 w:line="240" w:lineRule="auto"/>
              <w:ind w:left="284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FECHA</w:t>
            </w:r>
            <w:r w:rsidRPr="00995FA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5919" w:type="dxa"/>
          </w:tcPr>
          <w:p w:rsidR="00995FA0" w:rsidRPr="00995FA0" w:rsidRDefault="00C81EA4" w:rsidP="00916E5D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>23 DE SEPTIEMBRE DE 2019</w:t>
            </w:r>
          </w:p>
        </w:tc>
      </w:tr>
      <w:tr w:rsidR="00995FA0" w:rsidRPr="00995FA0" w:rsidTr="000A2037">
        <w:trPr>
          <w:trHeight w:val="345"/>
        </w:trPr>
        <w:tc>
          <w:tcPr>
            <w:tcW w:w="2870" w:type="dxa"/>
          </w:tcPr>
          <w:p w:rsidR="00995FA0" w:rsidRPr="00995FA0" w:rsidRDefault="00995FA0" w:rsidP="00995FA0">
            <w:pPr>
              <w:spacing w:after="0" w:line="240" w:lineRule="auto"/>
              <w:ind w:left="3884" w:hanging="360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5919" w:type="dxa"/>
          </w:tcPr>
          <w:p w:rsidR="00C81EA4" w:rsidRPr="00C81EA4" w:rsidRDefault="00170F3A" w:rsidP="00C81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URBANIZACIÒN </w:t>
            </w:r>
            <w:r w:rsidR="00C81EA4" w:rsidRPr="00C81EA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VILLAS LOS ALTOS DE</w:t>
            </w:r>
          </w:p>
          <w:p w:rsidR="00995FA0" w:rsidRPr="00AB6D7F" w:rsidRDefault="00C81EA4" w:rsidP="00C81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81EA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BOQUETE ETAPA II</w:t>
            </w:r>
          </w:p>
        </w:tc>
      </w:tr>
      <w:tr w:rsidR="00995FA0" w:rsidRPr="00995FA0" w:rsidTr="000A2037">
        <w:trPr>
          <w:trHeight w:val="274"/>
        </w:trPr>
        <w:tc>
          <w:tcPr>
            <w:tcW w:w="2870" w:type="dxa"/>
          </w:tcPr>
          <w:p w:rsidR="00995FA0" w:rsidRPr="00995FA0" w:rsidRDefault="00995FA0" w:rsidP="00995FA0">
            <w:pPr>
              <w:spacing w:after="0" w:line="240" w:lineRule="auto"/>
              <w:ind w:left="3884" w:hanging="36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919" w:type="dxa"/>
          </w:tcPr>
          <w:p w:rsidR="00C81EA4" w:rsidRPr="00C81EA4" w:rsidRDefault="00C81EA4" w:rsidP="00C81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C8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BELLAVISTA PROMOCIONES</w:t>
            </w:r>
          </w:p>
          <w:p w:rsidR="00995FA0" w:rsidRPr="00AB6D7F" w:rsidRDefault="00C81EA4" w:rsidP="00C81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C8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INMOBILIARIAS, S. A.</w:t>
            </w:r>
          </w:p>
        </w:tc>
      </w:tr>
      <w:tr w:rsidR="00995FA0" w:rsidRPr="00995FA0" w:rsidTr="000A2037">
        <w:trPr>
          <w:trHeight w:val="296"/>
        </w:trPr>
        <w:tc>
          <w:tcPr>
            <w:tcW w:w="2870" w:type="dxa"/>
          </w:tcPr>
          <w:p w:rsidR="00995FA0" w:rsidRPr="00995FA0" w:rsidRDefault="00995FA0" w:rsidP="00995FA0">
            <w:pPr>
              <w:tabs>
                <w:tab w:val="left" w:pos="3600"/>
              </w:tabs>
              <w:spacing w:after="0" w:line="240" w:lineRule="auto"/>
              <w:ind w:left="3884" w:hanging="36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5919" w:type="dxa"/>
          </w:tcPr>
          <w:p w:rsidR="00995FA0" w:rsidRPr="00995FA0" w:rsidRDefault="00C81EA4" w:rsidP="00C81EA4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HARMODIO CERRUD</w:t>
            </w:r>
            <w:r w:rsidR="0093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AXEL CABALLERO</w:t>
            </w:r>
          </w:p>
        </w:tc>
      </w:tr>
      <w:tr w:rsidR="00995FA0" w:rsidRPr="00995FA0" w:rsidTr="000A2037">
        <w:trPr>
          <w:trHeight w:val="443"/>
        </w:trPr>
        <w:tc>
          <w:tcPr>
            <w:tcW w:w="2870" w:type="dxa"/>
          </w:tcPr>
          <w:p w:rsidR="00995FA0" w:rsidRPr="00995FA0" w:rsidRDefault="00995FA0" w:rsidP="00995FA0">
            <w:pPr>
              <w:tabs>
                <w:tab w:val="left" w:pos="3600"/>
              </w:tabs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 w:eastAsia="es-ES"/>
              </w:rPr>
              <w:t>LOCALIZACIÓN:</w:t>
            </w:r>
          </w:p>
          <w:p w:rsidR="00995FA0" w:rsidRPr="00995FA0" w:rsidRDefault="00995FA0" w:rsidP="00995FA0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</w:pPr>
          </w:p>
        </w:tc>
        <w:tc>
          <w:tcPr>
            <w:tcW w:w="5919" w:type="dxa"/>
          </w:tcPr>
          <w:p w:rsidR="00995FA0" w:rsidRPr="00995FA0" w:rsidRDefault="00C81EA4" w:rsidP="00C81EA4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LAS TORTUGAS</w:t>
            </w:r>
            <w:r w:rsidR="00931F0D" w:rsidRPr="00931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 xml:space="preserve">, CORREGIMIENTO DE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ALTO BOQUETE</w:t>
            </w:r>
            <w:r w:rsidR="00931F0D" w:rsidRPr="00931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 xml:space="preserve">, DISTRITO DE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BOQUETE</w:t>
            </w:r>
            <w:r w:rsidR="00931F0D" w:rsidRPr="00931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, PROVINCIA DE CHIRIQUÍ</w:t>
            </w:r>
            <w:r w:rsidR="00931F0D" w:rsidRPr="00995F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 w:eastAsia="es-ES"/>
              </w:rPr>
              <w:t>.</w:t>
            </w:r>
          </w:p>
        </w:tc>
      </w:tr>
    </w:tbl>
    <w:p w:rsidR="00995FA0" w:rsidRPr="00995FA0" w:rsidRDefault="00995FA0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73346F" w:rsidRDefault="0073346F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995FA0" w:rsidRPr="00995FA0" w:rsidRDefault="00995FA0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_tradnl" w:eastAsia="es-ES"/>
        </w:rPr>
      </w:pP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  <w:t>BREVE DESCRIPCIÓN DEL PROYECTO</w:t>
      </w: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_tradnl" w:eastAsia="es-ES"/>
        </w:rPr>
        <w:t>:</w:t>
      </w:r>
    </w:p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16E5D" w:rsidP="00170F3A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16E5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proyecto consiste </w:t>
      </w:r>
      <w:r w:rsidR="003D241B" w:rsidRPr="003D24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construcción de una urbanización que abarca un</w:t>
      </w:r>
      <w:r w:rsidR="00170F3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3D241B" w:rsidRPr="003D24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total de 167 lotes residenciales unifamiliares, la cual estará distribuida de la</w:t>
      </w:r>
      <w:r w:rsidR="00170F3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3D241B" w:rsidRPr="003D24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siguiente manera:</w:t>
      </w:r>
      <w:r w:rsidR="00170F3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Globo de Terreno 1: c</w:t>
      </w:r>
      <w:r w:rsidR="003D241B" w:rsidRPr="003D24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omprende un total de 138 lotes residenciales y abarca</w:t>
      </w:r>
      <w:r w:rsidR="00170F3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3D241B" w:rsidRPr="003D24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un área de 9 ha + 4730.381 m</w:t>
      </w:r>
      <w:r w:rsidR="003D241B" w:rsidRPr="00170F3A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 w:eastAsia="es-ES"/>
        </w:rPr>
        <w:t>2</w:t>
      </w:r>
      <w:r w:rsidR="003D241B" w:rsidRPr="003D24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  <w:r w:rsidR="00170F3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; </w:t>
      </w:r>
      <w:r w:rsidR="003D241B" w:rsidRPr="003D24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Globo de Terreno 2. </w:t>
      </w:r>
      <w:proofErr w:type="gramStart"/>
      <w:r w:rsidR="00170F3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</w:t>
      </w:r>
      <w:r w:rsidR="003D241B" w:rsidRPr="003D24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nvolucra</w:t>
      </w:r>
      <w:proofErr w:type="gramEnd"/>
      <w:r w:rsidR="003D241B" w:rsidRPr="003D24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un total de 29 lotes residenciales y abarca un</w:t>
      </w:r>
      <w:r w:rsidR="00170F3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3D241B" w:rsidRPr="003D24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área de 2 ha + 4144.357 m</w:t>
      </w:r>
      <w:r w:rsidR="003D241B" w:rsidRPr="00170F3A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 w:eastAsia="es-ES"/>
        </w:rPr>
        <w:t>2</w:t>
      </w:r>
      <w:r w:rsidR="003D241B" w:rsidRPr="003D24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  <w:r w:rsidR="00170F3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916E5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.El total de área de construcción (incluyendo</w:t>
      </w:r>
      <w:r w:rsidR="003530A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un lote para uso </w:t>
      </w:r>
      <w:r w:rsidR="00832D4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Público</w:t>
      </w:r>
      <w:r w:rsidR="003530A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Nº 1, un lote para Uso Público Nº2</w:t>
      </w:r>
      <w:proofErr w:type="gramStart"/>
      <w:r w:rsidR="003530A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,un</w:t>
      </w:r>
      <w:proofErr w:type="gramEnd"/>
      <w:r w:rsidR="003530A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lote para </w:t>
      </w:r>
      <w:r w:rsidR="00832D4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</w:t>
      </w:r>
      <w:r w:rsidR="003530A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apilla, un lote para </w:t>
      </w:r>
      <w:r w:rsidR="00832D4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J</w:t>
      </w:r>
      <w:r w:rsidR="003530A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uego Infantil, un lote para Parque vecinal Nª1, un lote para uso comercial, un lote para junta comunal, un lote para área verde 1, un lote pa</w:t>
      </w:r>
      <w:r w:rsidR="00832D4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</w:t>
      </w:r>
      <w:r w:rsidR="003530A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 área verde 2, un lote para tanque de agua, un lote para centro Parvulario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</w:t>
      </w:r>
      <w:r w:rsidR="00832D4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área de construcción s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erá de</w:t>
      </w:r>
      <w:r w:rsidRPr="00916E5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170F3A" w:rsidRPr="00170F3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11 ha + 8874.738 m</w:t>
      </w:r>
      <w:r w:rsidR="00170F3A" w:rsidRPr="00170F3A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 w:eastAsia="es-ES"/>
        </w:rPr>
        <w:t>2</w:t>
      </w:r>
      <w:r w:rsidRPr="00916E5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el cual se llevará a cabo dentro de un terreno cuya superficie total de </w:t>
      </w:r>
      <w:r w:rsidR="00B70C22" w:rsidRPr="00B70C2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15 Has+2369m</w:t>
      </w:r>
      <w:r w:rsidR="00B70C22" w:rsidRPr="00B70C22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 w:eastAsia="es-ES"/>
        </w:rPr>
        <w:t>2</w:t>
      </w:r>
      <w:r w:rsidR="00B70C22" w:rsidRPr="00B70C2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62 dm</w:t>
      </w:r>
      <w:r w:rsidR="00B70C22" w:rsidRPr="00B70C22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 w:eastAsia="es-ES"/>
        </w:rPr>
        <w:t>2</w:t>
      </w:r>
      <w:r w:rsidRPr="00916E5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propiedad de</w:t>
      </w:r>
      <w:r w:rsidR="00170F3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 promotor, 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el cual se llevará a cabo sobre la finca con Folio Real No.</w:t>
      </w:r>
      <w:r w:rsidR="001D7ADA" w:rsidRPr="001D7ADA">
        <w:t xml:space="preserve"> </w:t>
      </w:r>
      <w:r w:rsidR="001D7ADA" w:rsidRP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155660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con </w:t>
      </w:r>
      <w:r w:rsidR="00832D4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Cód.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832D4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Ubicación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4305</w:t>
      </w:r>
      <w:r w:rsidR="003530A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bookmarkStart w:id="0" w:name="_GoBack"/>
      <w:bookmarkEnd w:id="0"/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ubicada en </w:t>
      </w:r>
      <w:r w:rsidR="007445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área 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Tortuga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Corregimiento De 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Alto Boquete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Distrito De 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Boquete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Provincia De Chiriquí. El monto de la inversión será de B/.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6,000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,000.00 (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seis millones de balboas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).</w:t>
      </w:r>
    </w:p>
    <w:p w:rsidR="00170F3A" w:rsidRDefault="00170F3A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995FA0" w:rsidRPr="00995FA0" w:rsidRDefault="00995FA0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</w:pP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  <w:t>CONCLUSIONES:</w:t>
      </w:r>
    </w:p>
    <w:p w:rsidR="00995FA0" w:rsidRPr="00995FA0" w:rsidRDefault="00995FA0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ES"/>
        </w:rPr>
      </w:pPr>
    </w:p>
    <w:p w:rsidR="00995FA0" w:rsidRPr="00995FA0" w:rsidRDefault="00995FA0" w:rsidP="00995FA0">
      <w:pPr>
        <w:spacing w:after="300" w:line="313" w:lineRule="exact"/>
        <w:ind w:left="14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Que conforme a lo establecido en el artículo 41 del Decreto Ejecutivo 123 del 14 de agosto de 2009, modificado por el Decreto 155 de 5 de agosto de 2011, se procedió a verificar que el Estudio de Impacto Ambiental, cumpliera con los contenidos mínimos establecidos en el artículo 26 del citado reglamento.</w:t>
      </w:r>
    </w:p>
    <w:p w:rsidR="00731BAE" w:rsidRPr="00731BAE" w:rsidRDefault="00995FA0" w:rsidP="009242A2">
      <w:pPr>
        <w:spacing w:line="240" w:lineRule="atLeast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Que luego de revisado el documento, se detectó  que el mismo </w:t>
      </w:r>
      <w:r w:rsidR="00731BAE" w:rsidRPr="00731BA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no cumple  con lo establecido en </w:t>
      </w:r>
      <w:r w:rsidR="00485182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el</w:t>
      </w:r>
      <w:r w:rsidR="00731BAE" w:rsidRPr="00731BA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485182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A</w:t>
      </w:r>
      <w:r w:rsidR="00141B49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rtículo</w:t>
      </w:r>
      <w:r w:rsidR="00731BAE" w:rsidRPr="00731BA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26, del Decreto Ejecutivo No. 123 de 14 agosto de 2009 </w:t>
      </w:r>
      <w:r w:rsidR="00731BAE" w:rsidRPr="00731BA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debido a que:</w:t>
      </w:r>
    </w:p>
    <w:p w:rsidR="00916E5D" w:rsidRPr="00916E5D" w:rsidRDefault="00916E5D" w:rsidP="00916E5D">
      <w:pPr>
        <w:numPr>
          <w:ilvl w:val="0"/>
          <w:numId w:val="1"/>
        </w:num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916E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Durante la revisión de la document</w:t>
      </w:r>
      <w:r w:rsidR="00170F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ación legal, se verificó que el Poder presentado para la tramitación del estudio de Impacto ambiental </w:t>
      </w:r>
      <w:proofErr w:type="spellStart"/>
      <w:r w:rsidR="00170F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està</w:t>
      </w:r>
      <w:proofErr w:type="spellEnd"/>
      <w:r w:rsidR="00170F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dirigido al antiguo Ministro</w:t>
      </w:r>
    </w:p>
    <w:p w:rsidR="006801C8" w:rsidRPr="00916E5D" w:rsidRDefault="006801C8" w:rsidP="00170F3A">
      <w:pPr>
        <w:spacing w:after="0" w:line="240" w:lineRule="exact"/>
        <w:ind w:left="8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95FA0" w:rsidRPr="00995FA0" w:rsidRDefault="00995FA0" w:rsidP="00995FA0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731CB" w:rsidRPr="00437600" w:rsidRDefault="006801C8" w:rsidP="007445D3">
      <w:pPr>
        <w:spacing w:after="237" w:line="270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 </w:t>
      </w:r>
      <w:r w:rsidRPr="006801C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Por tal motivo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se recomienda NO ADMITIR </w:t>
      </w:r>
      <w:r w:rsidR="009731CB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la solicitud de evaluación del estudio de impacto ambiental, categoría I, del proyecto “</w:t>
      </w:r>
      <w:r w:rsidR="007445D3" w:rsidRPr="007445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PA"/>
        </w:rPr>
        <w:t>URBANIZACIÒN VILLAS LOS ALTOS DE BOQUETE ETAPA II</w:t>
      </w:r>
      <w:r w:rsidR="009731CB" w:rsidRPr="008D38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MX" w:eastAsia="es-PA"/>
        </w:rPr>
        <w:t>”</w:t>
      </w:r>
    </w:p>
    <w:p w:rsidR="006801C8" w:rsidRDefault="006801C8" w:rsidP="00995FA0">
      <w:pPr>
        <w:tabs>
          <w:tab w:val="left" w:pos="3494"/>
          <w:tab w:val="left" w:pos="368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995FA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ENUNCIACIÓN DE LA LEGISLACIÓN APLICABLE:</w:t>
      </w: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Ley 41 de 1 de julio de 1998.</w:t>
      </w: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Decreto Ejecutivo No. </w:t>
      </w:r>
      <w:r w:rsidRPr="00995FA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123 del 14 de agosto de 2009, modificado por el Decreto Ejecutivo No.155 de 5 de agosto de 2011.</w:t>
      </w: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995FA0" w:rsidRPr="00995FA0" w:rsidRDefault="009731CB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SECCI{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ON </w:t>
      </w:r>
      <w:r w:rsidR="00995FA0" w:rsidRPr="00995FA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 DE EVALUACIÓN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DE IMPACTO</w:t>
      </w:r>
      <w:r w:rsidR="00995FA0" w:rsidRPr="00995FA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 AMBIENTAL:</w:t>
      </w: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Después de evaluar el Estudio concluimos que el documento presentado </w:t>
      </w:r>
      <w:r w:rsidR="009731C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no </w:t>
      </w: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cumple con los contenidos mínimos 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establecidos en el artículo 26 del Decreto Ejecutivo No. 123</w:t>
      </w:r>
      <w:r w:rsidRPr="00995FA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del 14 de agosto de 2009, modificado por el Decreto Ejecutivo No. 155 de 5 de agosto de 2011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0D6CB8" w:rsidRDefault="000D6CB8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995FA0" w:rsidRPr="00995FA0" w:rsidRDefault="009731CB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lastRenderedPageBreak/>
        <w:t xml:space="preserve">RECOMENDACIONES </w:t>
      </w:r>
      <w:r w:rsidR="00995FA0" w:rsidRPr="00995FA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:</w:t>
      </w:r>
      <w:proofErr w:type="gramEnd"/>
    </w:p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3346F" w:rsidRDefault="0073346F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95FA0" w:rsidP="00744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Se recomienda </w:t>
      </w:r>
      <w:r w:rsidR="0048619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NO </w:t>
      </w:r>
      <w:r w:rsidR="009731C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ADMITIR</w:t>
      </w:r>
      <w:r w:rsidR="0048619D"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solicitud de evaluación del </w:t>
      </w: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Estudio de Impacto Ambiental, Categoría I, del proyecto</w:t>
      </w: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 “</w:t>
      </w:r>
      <w:r w:rsidR="007445D3" w:rsidRPr="007445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URBANIZACIÒN VILLAS LOS ALTOS DE</w:t>
      </w:r>
      <w:r w:rsidR="007445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</w:t>
      </w:r>
      <w:r w:rsidR="007445D3" w:rsidRPr="007445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BOQUETE ETAPA II</w:t>
      </w:r>
      <w:r w:rsidRPr="00995FA0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” 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ya que a través de la revisión del Estudio de Impacto Ambiental se pudo constatar que el mismo cumple </w:t>
      </w: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con los contenidos mínimos 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establecidos en el artículo 26 del Decreto Ejecutivo No.</w:t>
      </w:r>
      <w:r w:rsidRPr="00995FA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123 del 14 de agosto de 2009, modificado por el Decreto Ejecutivo No.155 de 5 de agosto de 2011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tbl>
      <w:tblPr>
        <w:tblW w:w="9282" w:type="dxa"/>
        <w:tblLayout w:type="fixed"/>
        <w:tblLook w:val="04A0" w:firstRow="1" w:lastRow="0" w:firstColumn="1" w:lastColumn="0" w:noHBand="0" w:noVBand="1"/>
      </w:tblPr>
      <w:tblGrid>
        <w:gridCol w:w="9282"/>
      </w:tblGrid>
      <w:tr w:rsidR="00995FA0" w:rsidRPr="00995FA0" w:rsidTr="000A2037">
        <w:trPr>
          <w:trHeight w:val="2365"/>
        </w:trPr>
        <w:tc>
          <w:tcPr>
            <w:tcW w:w="9282" w:type="dxa"/>
            <w:shd w:val="clear" w:color="auto" w:fill="auto"/>
          </w:tcPr>
          <w:p w:rsidR="00995FA0" w:rsidRPr="00995FA0" w:rsidRDefault="00995FA0" w:rsidP="00995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b/>
                <w:caps/>
                <w:color w:val="000000"/>
                <w:sz w:val="24"/>
                <w:szCs w:val="24"/>
                <w:lang w:val="es-ES" w:eastAsia="es-ES"/>
              </w:rPr>
              <w:t xml:space="preserve"> __________________________</w:t>
            </w:r>
          </w:p>
          <w:p w:rsidR="00995FA0" w:rsidRPr="00995FA0" w:rsidRDefault="00995FA0" w:rsidP="00995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    ING. IOVANA BARRAZA</w:t>
            </w:r>
          </w:p>
          <w:p w:rsidR="00995FA0" w:rsidRPr="00995FA0" w:rsidRDefault="00995FA0" w:rsidP="00995FA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  <w:t xml:space="preserve">Técnico evaluador- Fase de Admisión, </w:t>
            </w:r>
          </w:p>
          <w:p w:rsidR="00995FA0" w:rsidRPr="00995FA0" w:rsidRDefault="00995FA0" w:rsidP="00995F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  <w:t xml:space="preserve">                                                                                          ___________________________ </w:t>
            </w:r>
          </w:p>
          <w:p w:rsidR="00995FA0" w:rsidRPr="00995FA0" w:rsidRDefault="00995FA0" w:rsidP="00995F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" w:eastAsia="es-ES"/>
              </w:rPr>
              <w:t xml:space="preserve">                                                                                         LICDA. NELLY RAMOS</w:t>
            </w:r>
          </w:p>
          <w:p w:rsidR="00995FA0" w:rsidRPr="00995FA0" w:rsidRDefault="00995FA0" w:rsidP="00995F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" w:eastAsia="es-ES"/>
              </w:rPr>
              <w:t xml:space="preserve">                                                                                            </w:t>
            </w:r>
            <w:r w:rsidRPr="00995FA0"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  <w:t xml:space="preserve">Jefa del Departamento                        </w:t>
            </w:r>
          </w:p>
          <w:p w:rsidR="00995FA0" w:rsidRPr="00995FA0" w:rsidRDefault="00995FA0" w:rsidP="00995F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  <w:t xml:space="preserve">                                                                                               Evaluación de Impacto Ambiental</w:t>
            </w:r>
          </w:p>
        </w:tc>
      </w:tr>
      <w:tr w:rsidR="00995FA0" w:rsidRPr="00995FA0" w:rsidTr="000A2037">
        <w:trPr>
          <w:trHeight w:val="351"/>
        </w:trPr>
        <w:tc>
          <w:tcPr>
            <w:tcW w:w="9282" w:type="dxa"/>
            <w:shd w:val="clear" w:color="auto" w:fill="auto"/>
          </w:tcPr>
          <w:p w:rsidR="00995FA0" w:rsidRPr="00995FA0" w:rsidRDefault="00995FA0" w:rsidP="00995F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995FA0" w:rsidRPr="00995FA0" w:rsidTr="000A2037">
        <w:trPr>
          <w:trHeight w:val="333"/>
        </w:trPr>
        <w:tc>
          <w:tcPr>
            <w:tcW w:w="9282" w:type="dxa"/>
            <w:shd w:val="clear" w:color="auto" w:fill="auto"/>
          </w:tcPr>
          <w:p w:rsidR="00995FA0" w:rsidRPr="00995FA0" w:rsidRDefault="00995FA0" w:rsidP="00995F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</w:p>
        </w:tc>
      </w:tr>
    </w:tbl>
    <w:p w:rsidR="00995FA0" w:rsidRPr="00995FA0" w:rsidRDefault="00995FA0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995FA0"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lang w:val="es-ES" w:eastAsia="es-ES"/>
        </w:rPr>
        <w:t xml:space="preserve">   </w:t>
      </w:r>
      <w:r w:rsidRPr="00995FA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                                                           Refrendado por:</w:t>
      </w:r>
    </w:p>
    <w:p w:rsidR="00995FA0" w:rsidRPr="00995FA0" w:rsidRDefault="00995FA0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995FA0" w:rsidRPr="00995FA0" w:rsidRDefault="00995FA0" w:rsidP="00995FA0">
      <w:pPr>
        <w:tabs>
          <w:tab w:val="center" w:pos="45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:rsidR="00995FA0" w:rsidRPr="00995FA0" w:rsidRDefault="00FB4E42" w:rsidP="00995FA0">
      <w:pPr>
        <w:tabs>
          <w:tab w:val="left" w:pos="33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ING. JEOVANY MORA</w:t>
      </w:r>
    </w:p>
    <w:p w:rsidR="00995FA0" w:rsidRPr="00995FA0" w:rsidRDefault="00FB4E42" w:rsidP="00995FA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</w:pPr>
      <w:r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>Director Regional Encargado</w:t>
      </w:r>
      <w:r w:rsidR="00995FA0" w:rsidRPr="00995FA0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 xml:space="preserve"> </w:t>
      </w:r>
    </w:p>
    <w:p w:rsidR="00437600" w:rsidRPr="00437600" w:rsidRDefault="00995FA0" w:rsidP="0073346F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995FA0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>Ministerio de Ambiente – Chiriquí</w:t>
      </w:r>
    </w:p>
    <w:p w:rsidR="00437600" w:rsidRPr="00437600" w:rsidRDefault="00437600" w:rsidP="00437600">
      <w:pPr>
        <w:framePr w:wrap="notBeside" w:vAnchor="text" w:hAnchor="text" w:xAlign="center" w:y="1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0"/>
          <w:szCs w:val="0"/>
          <w:lang w:val="es" w:eastAsia="es-PA"/>
        </w:rPr>
      </w:pPr>
    </w:p>
    <w:p w:rsidR="008279EB" w:rsidRDefault="008279EB" w:rsidP="00437600">
      <w:pPr>
        <w:framePr w:wrap="notBeside" w:vAnchor="text" w:hAnchor="text" w:xAlign="center" w:y="1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</w:p>
    <w:p w:rsidR="008279EB" w:rsidRDefault="008279EB" w:rsidP="00437600">
      <w:pPr>
        <w:framePr w:wrap="notBeside" w:vAnchor="text" w:hAnchor="text" w:xAlign="center" w:y="1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</w:p>
    <w:p w:rsidR="00437600" w:rsidRPr="00437600" w:rsidRDefault="00437600" w:rsidP="00437600">
      <w:pPr>
        <w:keepNext/>
        <w:keepLines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bookmarkStart w:id="1" w:name="bookmark4"/>
      <w:bookmarkEnd w:id="1"/>
    </w:p>
    <w:sectPr w:rsidR="00437600" w:rsidRPr="00437600" w:rsidSect="00344D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560" w:right="900" w:bottom="481" w:left="149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184" w:rsidRDefault="00C24184" w:rsidP="004B7B98">
      <w:pPr>
        <w:spacing w:after="0" w:line="240" w:lineRule="auto"/>
      </w:pPr>
      <w:r>
        <w:separator/>
      </w:r>
    </w:p>
  </w:endnote>
  <w:endnote w:type="continuationSeparator" w:id="0">
    <w:p w:rsidR="00C24184" w:rsidRDefault="00C24184" w:rsidP="004B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C8" w:rsidRDefault="00344DC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09" w:rsidRDefault="00E84EB6">
    <w:pPr>
      <w:pStyle w:val="Piedepgina"/>
      <w:rPr>
        <w:rFonts w:ascii="Times New Roman" w:hAnsi="Times New Roman" w:cs="Times New Roman"/>
        <w:sz w:val="16"/>
      </w:rPr>
    </w:pPr>
    <w:r w:rsidRPr="00883A01">
      <w:rPr>
        <w:rFonts w:ascii="Times New Roman" w:hAnsi="Times New Roman" w:cs="Times New Roman"/>
        <w:sz w:val="16"/>
      </w:rPr>
      <w:t>MINISTERIO DE AMBIENTE</w:t>
    </w:r>
  </w:p>
  <w:p w:rsidR="00883A01" w:rsidRPr="00883A01" w:rsidRDefault="005D3F9E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RESOLUCIÓN  DR</w:t>
    </w:r>
    <w:r w:rsidR="00E84EB6" w:rsidRPr="00E42509">
      <w:rPr>
        <w:rFonts w:ascii="Times New Roman" w:hAnsi="Times New Roman" w:cs="Times New Roman"/>
        <w:sz w:val="16"/>
      </w:rPr>
      <w:t>CH IA-NO-ADM_______ 201</w:t>
    </w:r>
    <w:r w:rsidR="001465F0">
      <w:rPr>
        <w:rFonts w:ascii="Times New Roman" w:hAnsi="Times New Roman" w:cs="Times New Roman"/>
        <w:sz w:val="16"/>
      </w:rPr>
      <w:t>8</w:t>
    </w:r>
  </w:p>
  <w:p w:rsidR="00883A01" w:rsidRPr="00883A01" w:rsidRDefault="00E84EB6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FECHA</w:t>
    </w:r>
    <w:r w:rsidR="004B7B98">
      <w:rPr>
        <w:rFonts w:ascii="Times New Roman" w:hAnsi="Times New Roman" w:cs="Times New Roman"/>
        <w:sz w:val="16"/>
      </w:rPr>
      <w:t>___________</w:t>
    </w:r>
  </w:p>
  <w:p w:rsidR="00883A01" w:rsidRPr="00883A01" w:rsidRDefault="00E84EB6">
    <w:pPr>
      <w:pStyle w:val="Piedepgina"/>
      <w:rPr>
        <w:rFonts w:ascii="Times New Roman" w:hAnsi="Times New Roman" w:cs="Times New Roman"/>
        <w:sz w:val="16"/>
      </w:rPr>
    </w:pPr>
    <w:r w:rsidRPr="00883A01">
      <w:rPr>
        <w:rFonts w:ascii="Times New Roman" w:hAnsi="Times New Roman" w:cs="Times New Roman"/>
        <w:sz w:val="16"/>
      </w:rPr>
      <w:t xml:space="preserve">Página </w:t>
    </w:r>
    <w:r w:rsidR="00344DC8">
      <w:rPr>
        <w:rFonts w:ascii="Times New Roman" w:hAnsi="Times New Roman" w:cs="Times New Roman"/>
        <w:sz w:val="16"/>
      </w:rPr>
      <w:t>2</w:t>
    </w:r>
    <w:r w:rsidRPr="00883A01">
      <w:rPr>
        <w:rFonts w:ascii="Times New Roman" w:hAnsi="Times New Roman" w:cs="Times New Roman"/>
        <w:sz w:val="16"/>
      </w:rPr>
      <w:t xml:space="preserve"> de </w:t>
    </w:r>
    <w:r w:rsidR="00344DC8">
      <w:rPr>
        <w:rFonts w:ascii="Times New Roman" w:hAnsi="Times New Roman" w:cs="Times New Roman"/>
        <w:sz w:val="16"/>
      </w:rPr>
      <w:t>2</w:t>
    </w:r>
  </w:p>
  <w:p w:rsidR="009662D8" w:rsidRDefault="00C2418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C8" w:rsidRDefault="00344D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184" w:rsidRDefault="00C24184" w:rsidP="004B7B98">
      <w:pPr>
        <w:spacing w:after="0" w:line="240" w:lineRule="auto"/>
      </w:pPr>
      <w:r>
        <w:separator/>
      </w:r>
    </w:p>
  </w:footnote>
  <w:footnote w:type="continuationSeparator" w:id="0">
    <w:p w:rsidR="00C24184" w:rsidRDefault="00C24184" w:rsidP="004B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C8" w:rsidRDefault="00344DC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C8" w:rsidRDefault="00344DC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C8" w:rsidRDefault="00344D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646B9"/>
    <w:multiLevelType w:val="hybridMultilevel"/>
    <w:tmpl w:val="779288BA"/>
    <w:lvl w:ilvl="0" w:tplc="1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62483541"/>
    <w:multiLevelType w:val="hybridMultilevel"/>
    <w:tmpl w:val="DB8E5F46"/>
    <w:lvl w:ilvl="0" w:tplc="1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>
    <w:nsid w:val="63713AD3"/>
    <w:multiLevelType w:val="hybridMultilevel"/>
    <w:tmpl w:val="CB02B84A"/>
    <w:lvl w:ilvl="0" w:tplc="0C0A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00"/>
    <w:rsid w:val="000A2DAB"/>
    <w:rsid w:val="000B31A8"/>
    <w:rsid w:val="000D6CB8"/>
    <w:rsid w:val="00141B49"/>
    <w:rsid w:val="001465F0"/>
    <w:rsid w:val="001633F2"/>
    <w:rsid w:val="00170F3A"/>
    <w:rsid w:val="001D7ADA"/>
    <w:rsid w:val="0026503E"/>
    <w:rsid w:val="00277A58"/>
    <w:rsid w:val="002944BB"/>
    <w:rsid w:val="0030660B"/>
    <w:rsid w:val="00327937"/>
    <w:rsid w:val="00344DC8"/>
    <w:rsid w:val="00351094"/>
    <w:rsid w:val="003530AA"/>
    <w:rsid w:val="003532BF"/>
    <w:rsid w:val="0035666A"/>
    <w:rsid w:val="003A2878"/>
    <w:rsid w:val="003B570C"/>
    <w:rsid w:val="003D241B"/>
    <w:rsid w:val="003F1E5A"/>
    <w:rsid w:val="004033AE"/>
    <w:rsid w:val="0041333E"/>
    <w:rsid w:val="00437600"/>
    <w:rsid w:val="00457D80"/>
    <w:rsid w:val="00485182"/>
    <w:rsid w:val="0048619D"/>
    <w:rsid w:val="004B7B98"/>
    <w:rsid w:val="00516596"/>
    <w:rsid w:val="00541949"/>
    <w:rsid w:val="005663A3"/>
    <w:rsid w:val="00582FC5"/>
    <w:rsid w:val="005B5E08"/>
    <w:rsid w:val="005B62CF"/>
    <w:rsid w:val="005D3F9E"/>
    <w:rsid w:val="0066534E"/>
    <w:rsid w:val="006801C8"/>
    <w:rsid w:val="006B0B52"/>
    <w:rsid w:val="006D3FD5"/>
    <w:rsid w:val="00703A21"/>
    <w:rsid w:val="00731BAE"/>
    <w:rsid w:val="0073346F"/>
    <w:rsid w:val="007445D3"/>
    <w:rsid w:val="007667AE"/>
    <w:rsid w:val="00794EE4"/>
    <w:rsid w:val="007D3DF4"/>
    <w:rsid w:val="008279EB"/>
    <w:rsid w:val="00832D40"/>
    <w:rsid w:val="00876D02"/>
    <w:rsid w:val="008A1748"/>
    <w:rsid w:val="008B6467"/>
    <w:rsid w:val="008C5DC7"/>
    <w:rsid w:val="00901B15"/>
    <w:rsid w:val="00916E5D"/>
    <w:rsid w:val="009242A2"/>
    <w:rsid w:val="00931F0D"/>
    <w:rsid w:val="00952FA6"/>
    <w:rsid w:val="00972961"/>
    <w:rsid w:val="009731CB"/>
    <w:rsid w:val="00995FA0"/>
    <w:rsid w:val="00A47648"/>
    <w:rsid w:val="00A714B4"/>
    <w:rsid w:val="00A96AFA"/>
    <w:rsid w:val="00AB2C5E"/>
    <w:rsid w:val="00AB6D7F"/>
    <w:rsid w:val="00AC684E"/>
    <w:rsid w:val="00B036BF"/>
    <w:rsid w:val="00B15718"/>
    <w:rsid w:val="00B17FDC"/>
    <w:rsid w:val="00B57244"/>
    <w:rsid w:val="00B70C22"/>
    <w:rsid w:val="00C24184"/>
    <w:rsid w:val="00C439E7"/>
    <w:rsid w:val="00C501CF"/>
    <w:rsid w:val="00C6631A"/>
    <w:rsid w:val="00C77C77"/>
    <w:rsid w:val="00C81EA4"/>
    <w:rsid w:val="00D554D0"/>
    <w:rsid w:val="00D65AB8"/>
    <w:rsid w:val="00E048CC"/>
    <w:rsid w:val="00E77643"/>
    <w:rsid w:val="00E84EB6"/>
    <w:rsid w:val="00E93709"/>
    <w:rsid w:val="00EB2D8C"/>
    <w:rsid w:val="00F10499"/>
    <w:rsid w:val="00FB238E"/>
    <w:rsid w:val="00FB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5D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37600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7600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Encabezado">
    <w:name w:val="header"/>
    <w:basedOn w:val="Normal"/>
    <w:link w:val="EncabezadoCar"/>
    <w:uiPriority w:val="99"/>
    <w:unhideWhenUsed/>
    <w:rsid w:val="004B7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B98"/>
  </w:style>
  <w:style w:type="paragraph" w:styleId="Prrafodelista">
    <w:name w:val="List Paragraph"/>
    <w:basedOn w:val="Normal"/>
    <w:uiPriority w:val="34"/>
    <w:qFormat/>
    <w:rsid w:val="00B5724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5D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37600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7600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Encabezado">
    <w:name w:val="header"/>
    <w:basedOn w:val="Normal"/>
    <w:link w:val="EncabezadoCar"/>
    <w:uiPriority w:val="99"/>
    <w:unhideWhenUsed/>
    <w:rsid w:val="004B7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B98"/>
  </w:style>
  <w:style w:type="paragraph" w:styleId="Prrafodelista">
    <w:name w:val="List Paragraph"/>
    <w:basedOn w:val="Normal"/>
    <w:uiPriority w:val="34"/>
    <w:qFormat/>
    <w:rsid w:val="00B5724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652</Words>
  <Characters>3587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MINISTERIO DE AMBIENTE</vt:lpstr>
      <vt:lpstr/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Iovana Barraza</dc:creator>
  <cp:lastModifiedBy>Iovana Barraza</cp:lastModifiedBy>
  <cp:revision>6</cp:revision>
  <cp:lastPrinted>2018-10-19T22:04:00Z</cp:lastPrinted>
  <dcterms:created xsi:type="dcterms:W3CDTF">2019-09-24T14:20:00Z</dcterms:created>
  <dcterms:modified xsi:type="dcterms:W3CDTF">2019-09-24T15:02:00Z</dcterms:modified>
</cp:coreProperties>
</file>