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995FA0" w:rsidRDefault="00995FA0" w:rsidP="0099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  <w:bookmarkStart w:id="0" w:name="_GoBack"/>
      <w:bookmarkEnd w:id="0"/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995FA0" w:rsidRPr="00995FA0" w:rsidRDefault="000D6CB8" w:rsidP="000D6CB8">
      <w:pPr>
        <w:tabs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</w:r>
      <w:r w:rsidR="00995FA0"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995FA0" w:rsidRPr="00995FA0" w:rsidRDefault="00995FA0" w:rsidP="0099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995FA0" w:rsidRPr="00995FA0" w:rsidTr="000A2037">
        <w:trPr>
          <w:trHeight w:val="599"/>
        </w:trPr>
        <w:tc>
          <w:tcPr>
            <w:tcW w:w="2870" w:type="dxa"/>
          </w:tcPr>
          <w:p w:rsidR="00995FA0" w:rsidRPr="00995FA0" w:rsidRDefault="00995FA0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995F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995FA0" w:rsidRPr="00995FA0" w:rsidRDefault="00C81EA4" w:rsidP="00916E5D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23 DE SEPTIEMBRE DE 2019</w:t>
            </w:r>
          </w:p>
        </w:tc>
      </w:tr>
      <w:tr w:rsidR="00995FA0" w:rsidRPr="00995FA0" w:rsidTr="000A2037">
        <w:trPr>
          <w:trHeight w:val="345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C81EA4" w:rsidRPr="00C81EA4" w:rsidRDefault="00170F3A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URBANIZACIÒN </w:t>
            </w:r>
            <w:r w:rsidR="00C81EA4" w:rsidRPr="00C81EA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VILLAS LOS ALTOS DE</w:t>
            </w:r>
          </w:p>
          <w:p w:rsidR="00995FA0" w:rsidRPr="00AB6D7F" w:rsidRDefault="00C81EA4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81EA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BOQUETE ETAPA II</w:t>
            </w:r>
          </w:p>
        </w:tc>
      </w:tr>
      <w:tr w:rsidR="00995FA0" w:rsidRPr="00995FA0" w:rsidTr="000A2037">
        <w:trPr>
          <w:trHeight w:val="274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C81EA4" w:rsidRPr="00C81EA4" w:rsidRDefault="00C81EA4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8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BELLAVISTA PROMOCIONES</w:t>
            </w:r>
          </w:p>
          <w:p w:rsidR="00995FA0" w:rsidRPr="00AB6D7F" w:rsidRDefault="00C81EA4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C8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INMOBILIARIAS, S. A.</w:t>
            </w:r>
          </w:p>
        </w:tc>
      </w:tr>
      <w:tr w:rsidR="00995FA0" w:rsidRPr="00995FA0" w:rsidTr="000A2037">
        <w:trPr>
          <w:trHeight w:val="296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995FA0" w:rsidRPr="00995FA0" w:rsidRDefault="00C81EA4" w:rsidP="00C81EA4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HARMODIO CERRUD</w:t>
            </w:r>
            <w:r w:rsidR="0093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AXEL CABALLERO</w:t>
            </w:r>
          </w:p>
        </w:tc>
      </w:tr>
      <w:tr w:rsidR="00995FA0" w:rsidRPr="00995FA0" w:rsidTr="000A2037">
        <w:trPr>
          <w:trHeight w:val="443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>LOCALIZACIÓN:</w:t>
            </w:r>
          </w:p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995FA0" w:rsidRPr="00995FA0" w:rsidRDefault="00C81EA4" w:rsidP="00C81EA4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LAS TORTUGAS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CORREGIMIENTO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ALTO BOQUETE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DISTRITO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BOQUETE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, PROVINCIA DE CHIRIQUÍ</w:t>
            </w:r>
            <w:r w:rsidR="00931F0D" w:rsidRPr="00995F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 w:eastAsia="es-ES"/>
              </w:rPr>
              <w:t>.</w:t>
            </w:r>
          </w:p>
        </w:tc>
      </w:tr>
    </w:tbl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73346F" w:rsidRDefault="0073346F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16E5D" w:rsidP="00170F3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proyecto consiste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construcción de una urbanización que abarca un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total de 167 lotes residenciales unifamiliares, la cual estará distribuida de la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siguiente manera: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Globo de Terreno 1: c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omprende un total de 138 lotes residenciales y abarca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 área de 9 ha + 4730.381 m</w:t>
      </w:r>
      <w:r w:rsidR="003D241B" w:rsidRPr="00170F3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;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Globo de Terreno 2. </w:t>
      </w:r>
      <w:r w:rsidR="003D436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Involucra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 total de 29 lotes residenciales y abarca un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área de 2 ha + 4144.357 m</w:t>
      </w:r>
      <w:r w:rsidR="003D241B" w:rsidRPr="00170F3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.El total de área de construcción (incluyendo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un lote para uso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Público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Nº 1, un lote para Uso Público Nº2,</w:t>
      </w:r>
      <w:r w:rsidR="003D436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 lote para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apilla, un lote para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uego Infantil, un lote para Parque vecinal Nª1, un lote para uso comercial, un lote para junta comunal, un lote para área verde 1, un lote pa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área verde 2, un lote para tanque de agua, un lote para centro Parvulario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área de construcción s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erá de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170F3A" w:rsidRP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11 ha + 8874.738 m</w:t>
      </w:r>
      <w:r w:rsidR="00170F3A" w:rsidRPr="00170F3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el cual se llevará a cabo dentro de un terreno cuya superficie total de 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15 Has+2369m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62 dm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propiedad de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promotor,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cual se llevará a cabo sobre la finca con Folio Real No.</w:t>
      </w:r>
      <w:r w:rsidR="001D7ADA" w:rsidRPr="001D7ADA">
        <w:t xml:space="preserve"> </w:t>
      </w:r>
      <w:r w:rsidR="001D7ADA" w:rsidRP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155660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Cód.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Ubicación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4305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ubicada en </w:t>
      </w:r>
      <w:r w:rsidR="00744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área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Tortuga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Corregimiento De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Alto Boquete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Distrito De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Boquete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Provincia De Chiriquí. El monto de la inversión será de B/.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6,000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,000.00 (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seis millones de balboas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:rsidR="00170F3A" w:rsidRDefault="00170F3A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</w:p>
    <w:p w:rsidR="00995FA0" w:rsidRPr="00995FA0" w:rsidRDefault="00995FA0" w:rsidP="00995FA0">
      <w:pPr>
        <w:spacing w:after="300" w:line="313" w:lineRule="exact"/>
        <w:ind w:left="1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731BAE" w:rsidRPr="00731BAE" w:rsidRDefault="00995FA0" w:rsidP="009242A2">
      <w:pPr>
        <w:spacing w:line="240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no cumple  con lo establecido en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</w:t>
      </w:r>
      <w:r w:rsidR="00141B4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rtículo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26, del Decreto Ejecutivo No. 123 de 14 agosto de 2009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debido a que:</w:t>
      </w:r>
    </w:p>
    <w:p w:rsidR="00916E5D" w:rsidRPr="00916E5D" w:rsidRDefault="00916E5D" w:rsidP="00916E5D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16E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Durante la revisión de la document</w:t>
      </w:r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ación legal, se verificó que el Poder presentado para la tramitación del estudio de Impacto ambiental </w:t>
      </w:r>
      <w:r w:rsidR="003D43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está</w:t>
      </w:r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dirigido al antiguo Ministro</w:t>
      </w:r>
      <w:r w:rsidR="002E71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además de que el mismo no contiene el sello de la notaría.</w:t>
      </w:r>
    </w:p>
    <w:p w:rsidR="006801C8" w:rsidRPr="00916E5D" w:rsidRDefault="006801C8" w:rsidP="00170F3A">
      <w:pPr>
        <w:spacing w:after="0" w:line="240" w:lineRule="exact"/>
        <w:ind w:left="8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95FA0" w:rsidRPr="00995FA0" w:rsidRDefault="00995FA0" w:rsidP="00995FA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731CB" w:rsidRPr="00437600" w:rsidRDefault="006801C8" w:rsidP="007445D3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</w:t>
      </w:r>
      <w:r w:rsidRPr="006801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tal motivo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recomienda NO ADMITIR </w:t>
      </w:r>
      <w:r w:rsidR="009731CB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la solicitud de evaluación del estudio de impacto ambiental, categoría I, del proyecto “</w:t>
      </w:r>
      <w:r w:rsidR="007445D3" w:rsidRP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URBANIZACIÒN VILLAS LOS ALTOS DE BOQUETE ETAPA II</w:t>
      </w:r>
      <w:r w:rsidR="009731CB" w:rsidRPr="008D38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”</w:t>
      </w:r>
    </w:p>
    <w:p w:rsidR="006801C8" w:rsidRDefault="006801C8" w:rsidP="00995FA0">
      <w:pPr>
        <w:tabs>
          <w:tab w:val="left" w:pos="3494"/>
          <w:tab w:val="left" w:pos="36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1998.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2011.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9731CB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SECCI{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ON 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DE EVALUACIÓN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DE IMPACTO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AMBIENTAL: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 w:rsidR="009731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cumple 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 123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D6CB8" w:rsidRDefault="000D6CB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3D4365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lastRenderedPageBreak/>
        <w:t>RECOMENDACIONES: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346F" w:rsidRDefault="0073346F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="004861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 </w:t>
      </w:r>
      <w:r w:rsidR="009731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="0048619D"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solicitud de evaluación del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7445D3" w:rsidRP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URBANIZACIÒN VILLAS LOS ALTOS DE</w:t>
      </w:r>
      <w:r w:rsid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r w:rsidR="007445D3" w:rsidRP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BOQUETE ETAPA II</w:t>
      </w:r>
      <w:r w:rsidRPr="00995FA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cumple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tbl>
      <w:tblPr>
        <w:tblW w:w="9282" w:type="dxa"/>
        <w:tblLayout w:type="fixed"/>
        <w:tblLook w:val="04A0" w:firstRow="1" w:lastRow="0" w:firstColumn="1" w:lastColumn="0" w:noHBand="0" w:noVBand="1"/>
      </w:tblPr>
      <w:tblGrid>
        <w:gridCol w:w="9282"/>
      </w:tblGrid>
      <w:tr w:rsidR="00995FA0" w:rsidRPr="00995FA0" w:rsidTr="000A2037">
        <w:trPr>
          <w:trHeight w:val="2365"/>
        </w:trPr>
        <w:tc>
          <w:tcPr>
            <w:tcW w:w="9282" w:type="dxa"/>
            <w:shd w:val="clear" w:color="auto" w:fill="auto"/>
          </w:tcPr>
          <w:p w:rsidR="00995FA0" w:rsidRPr="00995FA0" w:rsidRDefault="00995FA0" w:rsidP="00995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:rsidR="00995FA0" w:rsidRPr="00995FA0" w:rsidRDefault="00995FA0" w:rsidP="00995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  ING. IOVANA BARRAZA</w:t>
            </w:r>
          </w:p>
          <w:p w:rsidR="00995FA0" w:rsidRPr="00995FA0" w:rsidRDefault="00995FA0" w:rsidP="00995F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Técnico evaluador- Fase de Admisión, 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LICDA. NELLY RAMOS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</w:t>
            </w: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Jefa del Departamento                        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Evaluación de Impacto Ambiental</w:t>
            </w:r>
          </w:p>
        </w:tc>
      </w:tr>
      <w:tr w:rsidR="00995FA0" w:rsidRPr="00995FA0" w:rsidTr="000A2037">
        <w:trPr>
          <w:trHeight w:val="351"/>
        </w:trPr>
        <w:tc>
          <w:tcPr>
            <w:tcW w:w="9282" w:type="dxa"/>
            <w:shd w:val="clear" w:color="auto" w:fill="auto"/>
          </w:tcPr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995FA0" w:rsidRPr="00995FA0" w:rsidTr="000A2037">
        <w:trPr>
          <w:trHeight w:val="333"/>
        </w:trPr>
        <w:tc>
          <w:tcPr>
            <w:tcW w:w="9282" w:type="dxa"/>
            <w:shd w:val="clear" w:color="auto" w:fill="auto"/>
          </w:tcPr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val="es-ES" w:eastAsia="es-ES"/>
        </w:rPr>
        <w:t xml:space="preserve">  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                                                          Refrendado por: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center" w:pos="4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995FA0" w:rsidRPr="00995FA0" w:rsidRDefault="00FB4E42" w:rsidP="00995FA0">
      <w:pPr>
        <w:tabs>
          <w:tab w:val="left" w:pos="33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ING. JEOVANY MORA</w:t>
      </w:r>
    </w:p>
    <w:p w:rsidR="00995FA0" w:rsidRPr="00995FA0" w:rsidRDefault="00FB4E42" w:rsidP="00995FA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Director Regional Encargado</w:t>
      </w:r>
      <w:r w:rsidR="00995FA0"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</w:t>
      </w:r>
    </w:p>
    <w:p w:rsidR="00437600" w:rsidRPr="00437600" w:rsidRDefault="00995FA0" w:rsidP="007334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</w:p>
    <w:p w:rsidR="00437600" w:rsidRPr="00437600" w:rsidRDefault="00437600" w:rsidP="00437600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437600" w:rsidRPr="00437600" w:rsidRDefault="00437600" w:rsidP="00437600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bookmarkStart w:id="1" w:name="bookmark4"/>
      <w:bookmarkEnd w:id="1"/>
    </w:p>
    <w:sectPr w:rsidR="00437600" w:rsidRPr="00437600" w:rsidSect="003D4365">
      <w:footerReference w:type="first" r:id="rId8"/>
      <w:pgSz w:w="12240" w:h="20160" w:code="5"/>
      <w:pgMar w:top="1560" w:right="900" w:bottom="481" w:left="1499" w:header="0" w:footer="51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62" w:rsidRDefault="00930862" w:rsidP="004B7B98">
      <w:pPr>
        <w:spacing w:after="0" w:line="240" w:lineRule="auto"/>
      </w:pPr>
      <w:r>
        <w:separator/>
      </w:r>
    </w:p>
  </w:endnote>
  <w:endnote w:type="continuationSeparator" w:id="0">
    <w:p w:rsidR="00930862" w:rsidRDefault="00930862" w:rsidP="004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C8" w:rsidRPr="003D4365" w:rsidRDefault="003D4365">
    <w:pPr>
      <w:pStyle w:val="Piedepgina"/>
      <w:rPr>
        <w:rFonts w:ascii="Times New Roman" w:hAnsi="Times New Roman" w:cs="Times New Roman"/>
        <w:sz w:val="20"/>
        <w:szCs w:val="20"/>
        <w:lang w:val="es-PA"/>
      </w:rPr>
    </w:pPr>
    <w:r w:rsidRPr="003D4365">
      <w:rPr>
        <w:rFonts w:ascii="Times New Roman" w:hAnsi="Times New Roman" w:cs="Times New Roman"/>
        <w:sz w:val="20"/>
        <w:szCs w:val="20"/>
        <w:lang w:val="es-PA"/>
      </w:rPr>
      <w:t>KQ/NR/</w:t>
    </w:r>
    <w:proofErr w:type="spellStart"/>
    <w:r w:rsidRPr="003D4365">
      <w:rPr>
        <w:rFonts w:ascii="Times New Roman" w:hAnsi="Times New Roman" w:cs="Times New Roman"/>
        <w:sz w:val="20"/>
        <w:szCs w:val="20"/>
        <w:lang w:val="es-PA"/>
      </w:rPr>
      <w:t>nr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62" w:rsidRDefault="00930862" w:rsidP="004B7B98">
      <w:pPr>
        <w:spacing w:after="0" w:line="240" w:lineRule="auto"/>
      </w:pPr>
      <w:r>
        <w:separator/>
      </w:r>
    </w:p>
  </w:footnote>
  <w:footnote w:type="continuationSeparator" w:id="0">
    <w:p w:rsidR="00930862" w:rsidRDefault="00930862" w:rsidP="004B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B9"/>
    <w:multiLevelType w:val="hybridMultilevel"/>
    <w:tmpl w:val="779288BA"/>
    <w:lvl w:ilvl="0" w:tplc="1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00"/>
    <w:rsid w:val="000A2DAB"/>
    <w:rsid w:val="000B31A8"/>
    <w:rsid w:val="000D6CB8"/>
    <w:rsid w:val="00141B49"/>
    <w:rsid w:val="001465F0"/>
    <w:rsid w:val="001633F2"/>
    <w:rsid w:val="00170F3A"/>
    <w:rsid w:val="001D7ADA"/>
    <w:rsid w:val="0026503E"/>
    <w:rsid w:val="00277A58"/>
    <w:rsid w:val="002944BB"/>
    <w:rsid w:val="002E7113"/>
    <w:rsid w:val="0030660B"/>
    <w:rsid w:val="00327937"/>
    <w:rsid w:val="00344DC8"/>
    <w:rsid w:val="00351094"/>
    <w:rsid w:val="003530AA"/>
    <w:rsid w:val="003532BF"/>
    <w:rsid w:val="003553AF"/>
    <w:rsid w:val="0035666A"/>
    <w:rsid w:val="003A2878"/>
    <w:rsid w:val="003B570C"/>
    <w:rsid w:val="003D241B"/>
    <w:rsid w:val="003D4365"/>
    <w:rsid w:val="003F1E5A"/>
    <w:rsid w:val="004033AE"/>
    <w:rsid w:val="0041333E"/>
    <w:rsid w:val="00437600"/>
    <w:rsid w:val="00457D80"/>
    <w:rsid w:val="00485182"/>
    <w:rsid w:val="0048619D"/>
    <w:rsid w:val="004B7B98"/>
    <w:rsid w:val="00516596"/>
    <w:rsid w:val="00541949"/>
    <w:rsid w:val="005663A3"/>
    <w:rsid w:val="00582FC5"/>
    <w:rsid w:val="005B5E08"/>
    <w:rsid w:val="005B62CF"/>
    <w:rsid w:val="005D3F9E"/>
    <w:rsid w:val="0066534E"/>
    <w:rsid w:val="006801C8"/>
    <w:rsid w:val="006B0B52"/>
    <w:rsid w:val="006D3FD5"/>
    <w:rsid w:val="00703A21"/>
    <w:rsid w:val="00731BAE"/>
    <w:rsid w:val="0073346F"/>
    <w:rsid w:val="007445D3"/>
    <w:rsid w:val="007667AE"/>
    <w:rsid w:val="00794EE4"/>
    <w:rsid w:val="007D3DF4"/>
    <w:rsid w:val="008279EB"/>
    <w:rsid w:val="00832D40"/>
    <w:rsid w:val="00876D02"/>
    <w:rsid w:val="008A1748"/>
    <w:rsid w:val="008B6467"/>
    <w:rsid w:val="008C5DC7"/>
    <w:rsid w:val="00901B15"/>
    <w:rsid w:val="00916E5D"/>
    <w:rsid w:val="009242A2"/>
    <w:rsid w:val="00930862"/>
    <w:rsid w:val="00931F0D"/>
    <w:rsid w:val="00952FA6"/>
    <w:rsid w:val="00972961"/>
    <w:rsid w:val="009731CB"/>
    <w:rsid w:val="00995FA0"/>
    <w:rsid w:val="00A47648"/>
    <w:rsid w:val="00A714B4"/>
    <w:rsid w:val="00A96AFA"/>
    <w:rsid w:val="00AB2C5E"/>
    <w:rsid w:val="00AB6D7F"/>
    <w:rsid w:val="00AC684E"/>
    <w:rsid w:val="00B036BF"/>
    <w:rsid w:val="00B15718"/>
    <w:rsid w:val="00B17FDC"/>
    <w:rsid w:val="00B57244"/>
    <w:rsid w:val="00B70C22"/>
    <w:rsid w:val="00C24184"/>
    <w:rsid w:val="00C439E7"/>
    <w:rsid w:val="00C501CF"/>
    <w:rsid w:val="00C54B1F"/>
    <w:rsid w:val="00C6631A"/>
    <w:rsid w:val="00C77C77"/>
    <w:rsid w:val="00C81EA4"/>
    <w:rsid w:val="00D554D0"/>
    <w:rsid w:val="00D65AB8"/>
    <w:rsid w:val="00E048CC"/>
    <w:rsid w:val="00E77643"/>
    <w:rsid w:val="00E84EB6"/>
    <w:rsid w:val="00E93709"/>
    <w:rsid w:val="00EB2D8C"/>
    <w:rsid w:val="00F10499"/>
    <w:rsid w:val="00FB238E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cp:lastPrinted>2018-10-19T22:04:00Z</cp:lastPrinted>
  <dcterms:created xsi:type="dcterms:W3CDTF">2019-09-30T15:03:00Z</dcterms:created>
  <dcterms:modified xsi:type="dcterms:W3CDTF">2019-09-30T15:03:00Z</dcterms:modified>
</cp:coreProperties>
</file>