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Arial" w:hAnsi="Arial" w:cs="Arial" w:eastAsiaTheme="minorEastAsia"/>
          <w:color w:val="767171" w:themeColor="background2" w:themeShade="80"/>
          <w:sz w:val="20"/>
          <w:szCs w:val="20"/>
        </w:rPr>
      </w:pPr>
    </w:p>
    <w:p>
      <w:pPr>
        <w:spacing w:line="240" w:lineRule="auto"/>
        <w:rPr>
          <w:rFonts w:hint="default" w:ascii="Arial" w:hAnsi="Arial" w:cs="Arial" w:eastAsiaTheme="minorEastAsia"/>
          <w:color w:val="767171" w:themeColor="background2" w:themeShade="80"/>
          <w:sz w:val="20"/>
          <w:szCs w:val="20"/>
        </w:rPr>
      </w:pPr>
    </w:p>
    <w:p>
      <w:pPr>
        <w:pStyle w:val="2"/>
        <w:spacing w:before="89" w:line="240" w:lineRule="auto"/>
        <w:ind w:left="2100" w:leftChars="0" w:right="3228" w:firstLine="700" w:firstLineChars="0"/>
        <w:jc w:val="center"/>
        <w:rPr>
          <w:rFonts w:hint="default" w:ascii="Arial" w:hAnsi="Arial" w:cs="Arial" w:eastAsiaTheme="minorEastAsia"/>
          <w:sz w:val="20"/>
          <w:szCs w:val="20"/>
          <w:lang w:val="es-PA"/>
        </w:rPr>
      </w:pPr>
      <w:r>
        <w:rPr>
          <w:rFonts w:hint="default" w:ascii="Arial" w:hAnsi="Arial" w:cs="Arial" w:eastAsiaTheme="minorEastAsia"/>
          <w:sz w:val="20"/>
          <w:szCs w:val="20"/>
          <w:lang w:val="es-PA"/>
        </w:rPr>
        <w:t xml:space="preserve">      FORMATO-EIA-FEVA-011</w:t>
      </w:r>
    </w:p>
    <w:p>
      <w:pPr>
        <w:pStyle w:val="2"/>
        <w:spacing w:before="3" w:line="240" w:lineRule="auto"/>
        <w:rPr>
          <w:rFonts w:hint="default" w:ascii="Arial" w:hAnsi="Arial" w:cs="Arial" w:eastAsiaTheme="minorEastAsia"/>
          <w:sz w:val="20"/>
          <w:szCs w:val="20"/>
          <w:lang w:val="zh-CN"/>
        </w:rPr>
      </w:pPr>
    </w:p>
    <w:p>
      <w:pPr>
        <w:pStyle w:val="2"/>
        <w:spacing w:before="89" w:line="240" w:lineRule="auto"/>
        <w:ind w:left="119"/>
        <w:jc w:val="both"/>
        <w:rPr>
          <w:rFonts w:hint="default" w:ascii="Arial" w:hAnsi="Arial" w:cs="Arial" w:eastAsiaTheme="minorEastAsia"/>
          <w:color w:val="FF0000"/>
          <w:sz w:val="20"/>
          <w:szCs w:val="20"/>
          <w:shd w:val="clear" w:color="auto" w:fill="auto"/>
          <w:lang w:val="es-PA"/>
        </w:rPr>
      </w:pPr>
      <w:r>
        <w:rPr>
          <w:rFonts w:hint="default" w:ascii="Arial" w:hAnsi="Arial" w:cs="Arial" w:eastAsiaTheme="minorEastAsia"/>
          <w:color w:val="auto"/>
          <w:sz w:val="20"/>
          <w:szCs w:val="20"/>
          <w:shd w:val="clear" w:color="auto" w:fill="auto"/>
          <w:lang w:val="es-PA"/>
        </w:rPr>
        <w:t>Chitré</w:t>
      </w:r>
      <w:r>
        <w:rPr>
          <w:rFonts w:hint="default" w:ascii="Arial" w:hAnsi="Arial" w:cs="Arial" w:eastAsiaTheme="minorEastAsia"/>
          <w:color w:val="auto"/>
          <w:sz w:val="20"/>
          <w:szCs w:val="20"/>
          <w:shd w:val="clear" w:color="auto" w:fill="auto"/>
          <w:lang w:val="zh-CN"/>
        </w:rPr>
        <w:t xml:space="preserve">, </w:t>
      </w:r>
      <w:r>
        <w:rPr>
          <w:rFonts w:hint="default" w:ascii="Arial" w:hAnsi="Arial" w:cs="Arial" w:eastAsiaTheme="minorEastAsia"/>
          <w:color w:val="auto"/>
          <w:sz w:val="20"/>
          <w:szCs w:val="20"/>
          <w:shd w:val="clear" w:color="auto" w:fill="auto"/>
          <w:lang w:val="es-PA"/>
        </w:rPr>
        <w:t xml:space="preserve">1 </w:t>
      </w:r>
      <w:r>
        <w:rPr>
          <w:rFonts w:hint="default" w:ascii="Arial" w:hAnsi="Arial" w:cs="Arial" w:eastAsiaTheme="minorEastAsia"/>
          <w:color w:val="auto"/>
          <w:sz w:val="20"/>
          <w:szCs w:val="20"/>
          <w:shd w:val="clear" w:color="auto" w:fill="auto"/>
          <w:lang w:val="zh-CN"/>
        </w:rPr>
        <w:t xml:space="preserve">de </w:t>
      </w:r>
      <w:r>
        <w:rPr>
          <w:rFonts w:hint="default" w:ascii="Arial" w:hAnsi="Arial" w:cs="Arial" w:eastAsiaTheme="minorEastAsia"/>
          <w:color w:val="auto"/>
          <w:sz w:val="20"/>
          <w:szCs w:val="20"/>
          <w:shd w:val="clear" w:color="auto" w:fill="auto"/>
          <w:lang w:val="es-PA"/>
        </w:rPr>
        <w:t xml:space="preserve">Octubre </w:t>
      </w:r>
      <w:r>
        <w:rPr>
          <w:rFonts w:hint="default" w:ascii="Arial" w:hAnsi="Arial" w:cs="Arial" w:eastAsiaTheme="minorEastAsia"/>
          <w:color w:val="auto"/>
          <w:sz w:val="20"/>
          <w:szCs w:val="20"/>
          <w:shd w:val="clear" w:color="auto" w:fill="auto"/>
          <w:lang w:val="zh-CN"/>
        </w:rPr>
        <w:t xml:space="preserve">de </w:t>
      </w:r>
      <w:r>
        <w:rPr>
          <w:rFonts w:hint="default" w:ascii="Arial" w:hAnsi="Arial" w:cs="Arial" w:eastAsiaTheme="minorEastAsia"/>
          <w:color w:val="auto"/>
          <w:sz w:val="20"/>
          <w:szCs w:val="20"/>
          <w:shd w:val="clear" w:color="auto" w:fill="auto"/>
          <w:lang w:val="es-PA"/>
        </w:rPr>
        <w:t>2019</w:t>
      </w:r>
    </w:p>
    <w:p>
      <w:pPr>
        <w:pStyle w:val="2"/>
        <w:spacing w:line="240" w:lineRule="auto"/>
        <w:ind w:left="119"/>
        <w:jc w:val="both"/>
        <w:rPr>
          <w:rFonts w:hint="default" w:ascii="Arial" w:hAnsi="Arial" w:cs="Arial" w:eastAsiaTheme="minorEastAsia"/>
          <w:color w:val="auto"/>
          <w:sz w:val="20"/>
          <w:szCs w:val="20"/>
          <w:lang w:val="es-PA"/>
        </w:rPr>
      </w:pPr>
      <w:r>
        <w:rPr>
          <w:rFonts w:hint="default" w:ascii="Arial" w:hAnsi="Arial" w:cs="Arial" w:eastAsiaTheme="minorEastAsia"/>
          <w:color w:val="auto"/>
          <w:sz w:val="20"/>
          <w:szCs w:val="20"/>
          <w:lang w:val="es-PA"/>
        </w:rPr>
        <w:t>DRHE-1599-2019</w:t>
      </w:r>
    </w:p>
    <w:p>
      <w:pPr>
        <w:pStyle w:val="2"/>
        <w:spacing w:before="10" w:line="240" w:lineRule="auto"/>
        <w:jc w:val="both"/>
        <w:rPr>
          <w:rFonts w:hint="default" w:ascii="Arial" w:hAnsi="Arial" w:cs="Arial" w:eastAsiaTheme="minorEastAsia"/>
          <w:sz w:val="20"/>
          <w:szCs w:val="20"/>
          <w:lang w:val="zh-CN"/>
        </w:rPr>
      </w:pPr>
    </w:p>
    <w:p>
      <w:pPr>
        <w:pStyle w:val="2"/>
        <w:spacing w:line="240" w:lineRule="auto"/>
        <w:ind w:left="119"/>
        <w:jc w:val="both"/>
        <w:rPr>
          <w:rFonts w:hint="default" w:ascii="Arial" w:hAnsi="Arial" w:cs="Arial" w:eastAsiaTheme="minorEastAsia"/>
          <w:sz w:val="20"/>
          <w:szCs w:val="20"/>
          <w:lang w:val="es-PA"/>
        </w:rPr>
      </w:pPr>
      <w:r>
        <w:rPr>
          <w:rFonts w:hint="default" w:ascii="Arial" w:hAnsi="Arial" w:cs="Arial" w:eastAsiaTheme="minorEastAsia"/>
          <w:sz w:val="20"/>
          <w:szCs w:val="20"/>
          <w:lang w:val="es-PA"/>
        </w:rPr>
        <w:t>Señor</w:t>
      </w:r>
    </w:p>
    <w:p>
      <w:pPr>
        <w:pStyle w:val="2"/>
        <w:spacing w:before="9" w:line="240" w:lineRule="auto"/>
        <w:ind w:firstLine="100" w:firstLineChars="50"/>
        <w:jc w:val="both"/>
        <w:rPr>
          <w:rFonts w:hint="default" w:ascii="Arial" w:hAnsi="Arial" w:cs="Arial" w:eastAsiaTheme="minorEastAsia"/>
          <w:b/>
          <w:bCs/>
          <w:sz w:val="20"/>
          <w:szCs w:val="20"/>
          <w:lang w:val="es-PA"/>
        </w:rPr>
      </w:pPr>
      <w:r>
        <w:rPr>
          <w:rFonts w:hint="default" w:ascii="Arial" w:hAnsi="Arial" w:cs="Arial" w:eastAsiaTheme="minorEastAsia"/>
          <w:b/>
          <w:bCs/>
          <w:sz w:val="20"/>
          <w:szCs w:val="20"/>
          <w:lang w:val="es-PA"/>
        </w:rPr>
        <w:t>GUSTAVO MARTÍNEZ GONZÁLEZ</w:t>
      </w:r>
    </w:p>
    <w:p>
      <w:pPr>
        <w:pStyle w:val="2"/>
        <w:spacing w:before="9" w:line="240" w:lineRule="auto"/>
        <w:ind w:firstLine="100" w:firstLineChars="50"/>
        <w:jc w:val="both"/>
        <w:rPr>
          <w:rFonts w:hint="default" w:ascii="Arial" w:hAnsi="Arial" w:cs="Arial" w:eastAsiaTheme="minorEastAsia"/>
          <w:b w:val="0"/>
          <w:bCs w:val="0"/>
          <w:sz w:val="20"/>
          <w:szCs w:val="20"/>
          <w:lang w:val="es-PA"/>
        </w:rPr>
      </w:pPr>
      <w:r>
        <w:rPr>
          <w:rFonts w:hint="default" w:ascii="Arial" w:hAnsi="Arial" w:cs="Arial" w:eastAsiaTheme="minorEastAsia"/>
          <w:b w:val="0"/>
          <w:bCs w:val="0"/>
          <w:sz w:val="20"/>
          <w:szCs w:val="20"/>
          <w:lang w:val="es-PA"/>
        </w:rPr>
        <w:t>JOCA Ingeniería y Construcciones. S.A.</w:t>
      </w:r>
    </w:p>
    <w:p>
      <w:pPr>
        <w:pStyle w:val="2"/>
        <w:spacing w:before="9" w:line="240" w:lineRule="auto"/>
        <w:jc w:val="both"/>
        <w:rPr>
          <w:rFonts w:hint="default" w:ascii="Arial" w:hAnsi="Arial" w:cs="Arial" w:eastAsiaTheme="minorEastAsia"/>
          <w:sz w:val="20"/>
          <w:szCs w:val="20"/>
          <w:lang w:val="es-PA"/>
        </w:rPr>
      </w:pPr>
      <w:r>
        <w:rPr>
          <w:rFonts w:hint="default" w:ascii="Arial" w:hAnsi="Arial" w:cs="Arial" w:eastAsiaTheme="minorEastAsia"/>
          <w:sz w:val="20"/>
          <w:szCs w:val="20"/>
          <w:lang w:val="es-PA"/>
        </w:rPr>
        <w:t xml:space="preserve">  Promotor </w:t>
      </w:r>
    </w:p>
    <w:p>
      <w:pPr>
        <w:pStyle w:val="2"/>
        <w:spacing w:line="240" w:lineRule="auto"/>
        <w:ind w:left="119"/>
        <w:jc w:val="both"/>
        <w:rPr>
          <w:rFonts w:hint="default" w:ascii="Arial" w:hAnsi="Arial" w:cs="Arial" w:eastAsiaTheme="minorEastAsia"/>
          <w:sz w:val="20"/>
          <w:szCs w:val="20"/>
          <w:lang w:val="zh-CN"/>
        </w:rPr>
      </w:pPr>
      <w:r>
        <w:rPr>
          <w:rFonts w:hint="default" w:ascii="Arial" w:hAnsi="Arial" w:cs="Arial" w:eastAsiaTheme="minorEastAsia"/>
          <w:sz w:val="20"/>
          <w:szCs w:val="20"/>
          <w:lang w:val="zh-CN"/>
        </w:rPr>
        <w:t>E. S. D.</w:t>
      </w:r>
    </w:p>
    <w:p>
      <w:pPr>
        <w:pStyle w:val="2"/>
        <w:spacing w:line="240" w:lineRule="auto"/>
        <w:jc w:val="both"/>
        <w:rPr>
          <w:rFonts w:hint="default" w:ascii="Arial" w:hAnsi="Arial" w:cs="Arial" w:eastAsiaTheme="minorEastAsia"/>
          <w:sz w:val="20"/>
          <w:szCs w:val="20"/>
          <w:lang w:val="zh-CN"/>
        </w:rPr>
      </w:pPr>
    </w:p>
    <w:p>
      <w:pPr>
        <w:pStyle w:val="2"/>
        <w:spacing w:line="240" w:lineRule="auto"/>
        <w:jc w:val="both"/>
        <w:rPr>
          <w:rFonts w:hint="default" w:ascii="Arial" w:hAnsi="Arial" w:cs="Arial" w:eastAsiaTheme="minorEastAsia"/>
          <w:sz w:val="20"/>
          <w:szCs w:val="20"/>
          <w:lang w:val="zh-CN"/>
        </w:rPr>
      </w:pPr>
    </w:p>
    <w:p>
      <w:pPr>
        <w:pStyle w:val="2"/>
        <w:tabs>
          <w:tab w:val="left" w:pos="1696"/>
        </w:tabs>
        <w:spacing w:line="240" w:lineRule="auto"/>
        <w:ind w:left="119"/>
        <w:jc w:val="both"/>
        <w:rPr>
          <w:rFonts w:hint="default" w:ascii="Arial" w:hAnsi="Arial" w:cs="Arial" w:eastAsiaTheme="minorEastAsia"/>
          <w:sz w:val="20"/>
          <w:szCs w:val="20"/>
          <w:lang w:val="zh-CN"/>
        </w:rPr>
      </w:pPr>
      <w:r>
        <w:rPr>
          <w:rFonts w:hint="default" w:ascii="Arial" w:hAnsi="Arial" w:cs="Arial" w:eastAsiaTheme="minorEastAsia"/>
          <w:sz w:val="20"/>
          <w:szCs w:val="20"/>
          <w:lang w:val="es-PA"/>
        </w:rPr>
        <w:t xml:space="preserve">Señor </w:t>
      </w:r>
      <w:r>
        <w:rPr>
          <w:rFonts w:hint="default" w:ascii="Arial" w:hAnsi="Arial" w:cs="Arial" w:eastAsiaTheme="minorEastAsia"/>
          <w:b/>
          <w:bCs/>
          <w:sz w:val="20"/>
          <w:szCs w:val="20"/>
          <w:lang w:val="es-PA"/>
        </w:rPr>
        <w:t>MARTÍNEZ</w:t>
      </w:r>
      <w:r>
        <w:rPr>
          <w:rFonts w:hint="default" w:ascii="Arial" w:hAnsi="Arial" w:cs="Arial" w:eastAsiaTheme="minorEastAsia"/>
          <w:b w:val="0"/>
          <w:bCs w:val="0"/>
          <w:sz w:val="20"/>
          <w:szCs w:val="20"/>
          <w:lang w:val="zh-CN"/>
        </w:rPr>
        <w:t>:</w:t>
      </w:r>
    </w:p>
    <w:p>
      <w:pPr>
        <w:pStyle w:val="2"/>
        <w:spacing w:line="240" w:lineRule="auto"/>
        <w:jc w:val="both"/>
        <w:rPr>
          <w:rFonts w:hint="default" w:ascii="Arial" w:hAnsi="Arial" w:cs="Arial" w:eastAsiaTheme="minorEastAsia"/>
          <w:sz w:val="20"/>
          <w:szCs w:val="20"/>
          <w:lang w:val="zh-CN"/>
        </w:rPr>
      </w:pPr>
    </w:p>
    <w:p>
      <w:pPr>
        <w:spacing w:before="180" w:line="240" w:lineRule="auto"/>
        <w:ind w:left="119" w:right="72"/>
        <w:jc w:val="both"/>
        <w:rPr>
          <w:rFonts w:hint="default" w:ascii="Arial" w:hAnsi="Arial" w:cs="Arial" w:eastAsiaTheme="minorEastAsia"/>
          <w:sz w:val="20"/>
          <w:szCs w:val="20"/>
          <w:lang w:val="zh-CN"/>
        </w:rPr>
      </w:pPr>
      <w:r>
        <w:rPr>
          <w:rFonts w:hint="default" w:ascii="Arial" w:hAnsi="Arial" w:cs="Arial" w:eastAsiaTheme="minorEastAsia"/>
          <w:sz w:val="20"/>
          <w:szCs w:val="20"/>
          <w:lang w:val="zh-CN"/>
        </w:rPr>
        <w:t>Por medio de la presente, de acuerdo a lo establecido en el artículo 43 de Decreto Ejecutivo 123 del 14 de agosto de 2009, modificado por el Decreto Ejecutivo de 155 de agosto de 2011, le</w:t>
      </w:r>
      <w:r>
        <w:rPr>
          <w:rFonts w:hint="default" w:ascii="Arial" w:hAnsi="Arial" w:cs="Arial" w:eastAsiaTheme="minorEastAsia"/>
          <w:sz w:val="20"/>
          <w:szCs w:val="20"/>
          <w:lang w:val="es-PA"/>
        </w:rPr>
        <w:t xml:space="preserve"> </w:t>
      </w:r>
      <w:r>
        <w:rPr>
          <w:rFonts w:hint="default" w:ascii="Arial" w:hAnsi="Arial" w:cs="Arial" w:eastAsiaTheme="minorEastAsia"/>
          <w:sz w:val="20"/>
          <w:szCs w:val="20"/>
          <w:lang w:val="zh-CN"/>
        </w:rPr>
        <w:t>solicitamos información aclaratoria</w:t>
      </w:r>
      <w:r>
        <w:rPr>
          <w:rFonts w:hint="default" w:ascii="Arial" w:hAnsi="Arial" w:cs="Arial" w:eastAsiaTheme="minorEastAsia"/>
          <w:sz w:val="20"/>
          <w:szCs w:val="20"/>
          <w:lang w:val="es-PA"/>
        </w:rPr>
        <w:t xml:space="preserve"> </w:t>
      </w:r>
      <w:r>
        <w:rPr>
          <w:rFonts w:hint="default" w:ascii="Arial" w:hAnsi="Arial" w:cs="Arial" w:eastAsiaTheme="minorEastAsia"/>
          <w:sz w:val="20"/>
          <w:szCs w:val="20"/>
          <w:lang w:val="zh-CN"/>
        </w:rPr>
        <w:t>al</w:t>
      </w:r>
      <w:r>
        <w:rPr>
          <w:rFonts w:hint="default" w:ascii="Arial" w:hAnsi="Arial" w:cs="Arial" w:eastAsiaTheme="minorEastAsia"/>
          <w:sz w:val="20"/>
          <w:szCs w:val="20"/>
          <w:lang w:val="es-PA"/>
        </w:rPr>
        <w:t xml:space="preserve"> </w:t>
      </w:r>
      <w:r>
        <w:rPr>
          <w:rFonts w:hint="default" w:ascii="Arial" w:hAnsi="Arial" w:cs="Arial" w:eastAsiaTheme="minorEastAsia"/>
          <w:sz w:val="20"/>
          <w:szCs w:val="20"/>
          <w:lang w:val="zh-CN"/>
        </w:rPr>
        <w:t>Estudio de</w:t>
      </w:r>
      <w:r>
        <w:rPr>
          <w:rFonts w:hint="default" w:ascii="Arial" w:hAnsi="Arial" w:cs="Arial" w:eastAsiaTheme="minorEastAsia"/>
          <w:sz w:val="20"/>
          <w:szCs w:val="20"/>
          <w:lang w:val="es-PA"/>
        </w:rPr>
        <w:t xml:space="preserve"> </w:t>
      </w:r>
      <w:r>
        <w:rPr>
          <w:rFonts w:hint="default" w:ascii="Arial" w:hAnsi="Arial" w:cs="Arial" w:eastAsiaTheme="minorEastAsia"/>
          <w:sz w:val="20"/>
          <w:szCs w:val="20"/>
          <w:lang w:val="zh-CN"/>
        </w:rPr>
        <w:t>Impacto</w:t>
      </w:r>
      <w:r>
        <w:rPr>
          <w:rFonts w:hint="default" w:ascii="Arial" w:hAnsi="Arial" w:cs="Arial" w:eastAsiaTheme="minorEastAsia"/>
          <w:sz w:val="20"/>
          <w:szCs w:val="20"/>
          <w:lang w:val="es-PA"/>
        </w:rPr>
        <w:t xml:space="preserve"> </w:t>
      </w:r>
      <w:r>
        <w:rPr>
          <w:rFonts w:hint="default" w:ascii="Arial" w:hAnsi="Arial" w:cs="Arial" w:eastAsiaTheme="minorEastAsia"/>
          <w:sz w:val="20"/>
          <w:szCs w:val="20"/>
          <w:lang w:val="zh-CN"/>
        </w:rPr>
        <w:t>Ambiental (EsIA)</w:t>
      </w:r>
      <w:r>
        <w:rPr>
          <w:rFonts w:hint="default" w:ascii="Arial" w:hAnsi="Arial" w:cs="Arial" w:eastAsiaTheme="minorEastAsia"/>
          <w:sz w:val="20"/>
          <w:szCs w:val="20"/>
          <w:lang w:val="es-PA"/>
        </w:rPr>
        <w:t xml:space="preserve"> </w:t>
      </w:r>
      <w:r>
        <w:rPr>
          <w:rFonts w:hint="default" w:ascii="Arial" w:hAnsi="Arial" w:cs="Arial" w:eastAsiaTheme="minorEastAsia"/>
          <w:sz w:val="20"/>
          <w:szCs w:val="20"/>
          <w:lang w:val="zh-CN"/>
        </w:rPr>
        <w:t>Categoría</w:t>
      </w:r>
      <w:r>
        <w:rPr>
          <w:rFonts w:hint="default" w:ascii="Arial" w:hAnsi="Arial" w:cs="Arial" w:eastAsiaTheme="minorEastAsia"/>
          <w:sz w:val="20"/>
          <w:szCs w:val="20"/>
          <w:lang w:val="es-PA"/>
        </w:rPr>
        <w:t xml:space="preserve"> I</w:t>
      </w:r>
      <w:r>
        <w:rPr>
          <w:rFonts w:hint="default" w:ascii="Arial" w:hAnsi="Arial" w:cs="Arial" w:eastAsiaTheme="minorEastAsia"/>
          <w:sz w:val="20"/>
          <w:szCs w:val="20"/>
          <w:lang w:val="zh-CN"/>
        </w:rPr>
        <w:t>,</w:t>
      </w:r>
      <w:r>
        <w:rPr>
          <w:rFonts w:hint="default" w:ascii="Arial" w:hAnsi="Arial" w:cs="Arial" w:eastAsiaTheme="minorEastAsia"/>
          <w:sz w:val="20"/>
          <w:szCs w:val="20"/>
          <w:lang w:val="es-PA"/>
        </w:rPr>
        <w:t xml:space="preserve"> </w:t>
      </w:r>
      <w:r>
        <w:rPr>
          <w:rFonts w:hint="default" w:ascii="Arial" w:hAnsi="Arial" w:cs="Arial" w:eastAsiaTheme="minorEastAsia"/>
          <w:sz w:val="20"/>
          <w:szCs w:val="20"/>
        </w:rPr>
        <w:t>denominado</w:t>
      </w:r>
      <w:r>
        <w:rPr>
          <w:rFonts w:hint="default" w:ascii="Arial" w:hAnsi="Arial" w:cs="Arial" w:eastAsiaTheme="minorEastAsia"/>
          <w:sz w:val="20"/>
          <w:szCs w:val="20"/>
          <w:lang w:val="es-PA"/>
        </w:rPr>
        <w:t xml:space="preserve"> </w:t>
      </w:r>
      <w:r>
        <w:rPr>
          <w:rFonts w:hint="default" w:ascii="Arial" w:hAnsi="Arial" w:cs="Arial" w:eastAsiaTheme="minorEastAsia"/>
          <w:b/>
          <w:bCs/>
          <w:sz w:val="20"/>
          <w:szCs w:val="20"/>
        </w:rPr>
        <w:t>“</w:t>
      </w:r>
      <w:r>
        <w:rPr>
          <w:rFonts w:hint="default" w:ascii="Arial" w:hAnsi="Arial" w:cs="Arial" w:eastAsiaTheme="minorEastAsia"/>
          <w:b/>
          <w:bCs/>
          <w:sz w:val="20"/>
          <w:szCs w:val="20"/>
          <w:lang w:val="es-PA"/>
        </w:rPr>
        <w:t>INSTALACIÓN Y OPERACIÓN DE PLANTA TEMPORAL DE ASFALTO”</w:t>
      </w:r>
      <w:r>
        <w:rPr>
          <w:rFonts w:hint="default" w:ascii="Arial" w:hAnsi="Arial" w:cs="Arial" w:eastAsiaTheme="minorEastAsia"/>
          <w:b w:val="0"/>
          <w:bCs w:val="0"/>
          <w:sz w:val="20"/>
          <w:szCs w:val="20"/>
        </w:rPr>
        <w:t>,</w:t>
      </w:r>
      <w:r>
        <w:rPr>
          <w:rFonts w:hint="default" w:ascii="Arial" w:hAnsi="Arial" w:cs="Arial" w:eastAsiaTheme="minorEastAsia"/>
          <w:sz w:val="20"/>
          <w:szCs w:val="20"/>
          <w:lang w:val="es-PA"/>
        </w:rPr>
        <w:t xml:space="preserve"> </w:t>
      </w:r>
      <w:r>
        <w:rPr>
          <w:rFonts w:hint="default" w:ascii="Arial" w:hAnsi="Arial" w:cs="Arial" w:eastAsiaTheme="minorEastAsia"/>
          <w:sz w:val="20"/>
          <w:szCs w:val="20"/>
        </w:rPr>
        <w:t>a</w:t>
      </w:r>
      <w:r>
        <w:rPr>
          <w:rFonts w:hint="default" w:ascii="Arial" w:hAnsi="Arial" w:cs="Arial" w:eastAsiaTheme="minorEastAsia"/>
          <w:sz w:val="20"/>
          <w:szCs w:val="20"/>
          <w:lang w:val="es-PA"/>
        </w:rPr>
        <w:t xml:space="preserve"> </w:t>
      </w:r>
      <w:r>
        <w:rPr>
          <w:rFonts w:hint="default" w:ascii="Arial" w:hAnsi="Arial" w:cs="Arial" w:eastAsiaTheme="minorEastAsia"/>
          <w:sz w:val="20"/>
          <w:szCs w:val="20"/>
          <w:lang w:val="zh-CN"/>
        </w:rPr>
        <w:t xml:space="preserve">desarrollarse en el corregimiento </w:t>
      </w:r>
      <w:r>
        <w:rPr>
          <w:rFonts w:hint="default" w:ascii="Arial" w:hAnsi="Arial" w:cs="Arial" w:eastAsiaTheme="minorEastAsia"/>
          <w:sz w:val="20"/>
          <w:szCs w:val="20"/>
          <w:lang w:val="es-PA"/>
        </w:rPr>
        <w:t>Los Pozos Cabecera</w:t>
      </w:r>
      <w:r>
        <w:rPr>
          <w:rFonts w:hint="default" w:ascii="Arial" w:hAnsi="Arial" w:cs="Arial" w:eastAsiaTheme="minorEastAsia"/>
          <w:sz w:val="20"/>
          <w:szCs w:val="20"/>
          <w:lang w:val="zh-CN"/>
        </w:rPr>
        <w:t>,</w:t>
      </w:r>
      <w:r>
        <w:rPr>
          <w:rFonts w:hint="default" w:ascii="Arial" w:hAnsi="Arial" w:cs="Arial" w:eastAsiaTheme="minorEastAsia"/>
          <w:sz w:val="20"/>
          <w:szCs w:val="20"/>
          <w:lang w:val="es-PA"/>
        </w:rPr>
        <w:t xml:space="preserve"> </w:t>
      </w:r>
      <w:r>
        <w:rPr>
          <w:rFonts w:hint="default" w:ascii="Arial" w:hAnsi="Arial" w:cs="Arial" w:eastAsiaTheme="minorEastAsia"/>
          <w:sz w:val="20"/>
          <w:szCs w:val="20"/>
          <w:lang w:val="zh-CN"/>
        </w:rPr>
        <w:t>distrito de</w:t>
      </w:r>
      <w:r>
        <w:rPr>
          <w:rFonts w:hint="default" w:ascii="Arial" w:hAnsi="Arial" w:cs="Arial" w:eastAsiaTheme="minorEastAsia"/>
          <w:sz w:val="20"/>
          <w:szCs w:val="20"/>
          <w:lang w:val="es-PA"/>
        </w:rPr>
        <w:t xml:space="preserve"> Los Pozos</w:t>
      </w:r>
      <w:r>
        <w:rPr>
          <w:rFonts w:hint="default" w:ascii="Arial" w:hAnsi="Arial" w:cs="Arial" w:eastAsiaTheme="minorEastAsia"/>
          <w:sz w:val="20"/>
          <w:szCs w:val="20"/>
          <w:lang w:val="zh-CN"/>
        </w:rPr>
        <w:t>, en la provincia</w:t>
      </w:r>
      <w:r>
        <w:rPr>
          <w:rFonts w:hint="default" w:ascii="Arial" w:hAnsi="Arial" w:cs="Arial" w:eastAsiaTheme="minorEastAsia"/>
          <w:sz w:val="20"/>
          <w:szCs w:val="20"/>
          <w:lang w:val="es-PA"/>
        </w:rPr>
        <w:t xml:space="preserve"> de Herrera</w:t>
      </w:r>
      <w:r>
        <w:rPr>
          <w:rFonts w:hint="default" w:ascii="Arial" w:hAnsi="Arial" w:cs="Arial" w:eastAsiaTheme="minorEastAsia"/>
          <w:sz w:val="20"/>
          <w:szCs w:val="20"/>
          <w:lang w:val="zh-CN"/>
        </w:rPr>
        <w:t>, en lo siguiente:</w:t>
      </w:r>
    </w:p>
    <w:p>
      <w:pPr>
        <w:numPr>
          <w:ilvl w:val="0"/>
          <w:numId w:val="1"/>
        </w:numPr>
        <w:spacing w:before="180" w:line="240" w:lineRule="auto"/>
        <w:ind w:left="425" w:leftChars="0" w:right="72" w:rightChars="0" w:hanging="425" w:firstLineChars="0"/>
        <w:jc w:val="both"/>
        <w:rPr>
          <w:rFonts w:hint="default" w:ascii="Arial" w:hAnsi="Arial" w:cs="Arial" w:eastAsiaTheme="minorEastAsia"/>
          <w:b w:val="0"/>
          <w:bCs w:val="0"/>
          <w:i w:val="0"/>
          <w:iCs w:val="0"/>
          <w:color w:val="auto"/>
          <w:sz w:val="20"/>
          <w:szCs w:val="20"/>
          <w:lang w:val="es-PA"/>
        </w:rPr>
      </w:pPr>
      <w:r>
        <w:rPr>
          <w:rFonts w:hint="default" w:ascii="Arial" w:hAnsi="Arial" w:cs="Arial" w:eastAsiaTheme="minorEastAsia"/>
          <w:b w:val="0"/>
          <w:bCs w:val="0"/>
          <w:i w:val="0"/>
          <w:iCs w:val="0"/>
          <w:color w:val="auto"/>
          <w:sz w:val="20"/>
          <w:szCs w:val="20"/>
          <w:lang w:val="es-PA"/>
        </w:rPr>
        <w:t>En la documentación legal y en el contenido del EsIA, se indica que el polígono del proyecto se ubica en el Corregimiento de Los Pozos (cabecera), distrito de Los Pozos, provincia de Herrera; sin embargo, el Informe de verificación de coordenadas realizado por la Dirección de Evaluación de Impacto Ambiental del Ministerio de Ambiente, establece que el polígono del proyecto se encuentra ubicado en el Corregimiento de Los Cerritos, distrito de Los Pozos, provincia de Herrera. Por lo antes expuesto, el Promotor deberá:</w:t>
      </w:r>
    </w:p>
    <w:p>
      <w:pPr>
        <w:numPr>
          <w:ilvl w:val="0"/>
          <w:numId w:val="2"/>
        </w:numPr>
        <w:spacing w:before="180" w:line="240" w:lineRule="auto"/>
        <w:ind w:left="1265" w:leftChars="0" w:right="72" w:rightChars="0" w:hanging="425" w:firstLineChars="0"/>
        <w:jc w:val="both"/>
        <w:rPr>
          <w:rFonts w:hint="default" w:ascii="Arial" w:hAnsi="Arial" w:cs="Arial" w:eastAsiaTheme="minorEastAsia"/>
          <w:b w:val="0"/>
          <w:bCs w:val="0"/>
          <w:i w:val="0"/>
          <w:iCs w:val="0"/>
          <w:color w:val="auto"/>
          <w:sz w:val="20"/>
          <w:szCs w:val="20"/>
          <w:lang w:val="es-PA"/>
        </w:rPr>
      </w:pPr>
      <w:r>
        <w:rPr>
          <w:rFonts w:hint="default" w:ascii="Arial" w:hAnsi="Arial" w:cs="Arial" w:eastAsiaTheme="minorEastAsia"/>
          <w:b w:val="0"/>
          <w:bCs w:val="0"/>
          <w:i w:val="0"/>
          <w:iCs w:val="0"/>
          <w:color w:val="auto"/>
          <w:sz w:val="20"/>
          <w:szCs w:val="20"/>
          <w:lang w:val="es-PA"/>
        </w:rPr>
        <w:t>I</w:t>
      </w:r>
      <w:r>
        <w:rPr>
          <w:rFonts w:hint="default" w:ascii="Arial" w:hAnsi="Arial" w:cs="Arial" w:eastAsiaTheme="minorEastAsia"/>
          <w:i w:val="0"/>
          <w:iCs w:val="0"/>
          <w:color w:val="auto"/>
          <w:sz w:val="20"/>
          <w:szCs w:val="20"/>
          <w:lang w:val="es-PA"/>
        </w:rPr>
        <w:t xml:space="preserve">ndicar la ubicación geográfica exacta del proyecto, incluyendo mapa en escala 1:50,000 y coordenadas UTM del polígono del proyecto.  </w:t>
      </w:r>
    </w:p>
    <w:p>
      <w:pPr>
        <w:numPr>
          <w:ilvl w:val="0"/>
          <w:numId w:val="1"/>
        </w:numPr>
        <w:spacing w:before="180" w:line="240" w:lineRule="auto"/>
        <w:ind w:left="425" w:leftChars="0" w:right="72" w:rightChars="0" w:hanging="425" w:firstLineChars="0"/>
        <w:jc w:val="both"/>
        <w:rPr>
          <w:rFonts w:hint="default" w:ascii="Arial" w:hAnsi="Arial" w:cs="Arial" w:eastAsiaTheme="minorEastAsia"/>
          <w:i w:val="0"/>
          <w:iCs w:val="0"/>
          <w:color w:val="auto"/>
          <w:sz w:val="20"/>
          <w:szCs w:val="20"/>
          <w:lang w:val="es-PA"/>
        </w:rPr>
      </w:pPr>
      <w:r>
        <w:rPr>
          <w:rFonts w:hint="default" w:ascii="Arial" w:hAnsi="Arial" w:cs="Arial" w:eastAsiaTheme="minorEastAsia"/>
          <w:i w:val="0"/>
          <w:iCs w:val="0"/>
          <w:color w:val="auto"/>
          <w:sz w:val="20"/>
          <w:szCs w:val="20"/>
          <w:lang w:val="es-PA"/>
        </w:rPr>
        <w:t>El Certificado de Propiedad emitido por el Registro Público,  establece que la Finca con Folio Real No. 1059 (F), Código de Ubicación 6201, propiedad del señor Ramiro Isaac Osorio Quintero, cuenta con una superficie actual de 13 Ha + 9993 m</w:t>
      </w:r>
      <w:r>
        <w:rPr>
          <w:rFonts w:hint="default" w:ascii="Arial" w:hAnsi="Arial" w:cs="Arial" w:eastAsiaTheme="minorEastAsia"/>
          <w:i w:val="0"/>
          <w:iCs w:val="0"/>
          <w:color w:val="auto"/>
          <w:sz w:val="20"/>
          <w:szCs w:val="20"/>
          <w:vertAlign w:val="superscript"/>
          <w:lang w:val="es-PA"/>
        </w:rPr>
        <w:t>2</w:t>
      </w:r>
      <w:r>
        <w:rPr>
          <w:rFonts w:hint="default" w:ascii="Arial" w:hAnsi="Arial" w:cs="Arial" w:eastAsiaTheme="minorEastAsia"/>
          <w:i w:val="0"/>
          <w:iCs w:val="0"/>
          <w:color w:val="auto"/>
          <w:sz w:val="20"/>
          <w:szCs w:val="20"/>
          <w:vertAlign w:val="baseline"/>
          <w:lang w:val="es-PA"/>
        </w:rPr>
        <w:t xml:space="preserve">; del mismo modo, el Contrato de Arrendamiento establece en la Cláusula Primera que dará en arrendamiento un lote de </w:t>
      </w:r>
      <w:r>
        <w:rPr>
          <w:rFonts w:hint="default" w:ascii="Arial" w:hAnsi="Arial" w:cs="Arial" w:eastAsiaTheme="minorEastAsia"/>
          <w:i w:val="0"/>
          <w:iCs w:val="0"/>
          <w:color w:val="auto"/>
          <w:sz w:val="20"/>
          <w:szCs w:val="20"/>
          <w:u w:val="single"/>
          <w:vertAlign w:val="baseline"/>
          <w:lang w:val="es-PA"/>
        </w:rPr>
        <w:t>2 hectáreas + 000 m</w:t>
      </w:r>
      <w:r>
        <w:rPr>
          <w:rFonts w:hint="default" w:ascii="Arial" w:hAnsi="Arial" w:cs="Arial" w:eastAsiaTheme="minorEastAsia"/>
          <w:i w:val="0"/>
          <w:iCs w:val="0"/>
          <w:color w:val="auto"/>
          <w:sz w:val="20"/>
          <w:szCs w:val="20"/>
          <w:u w:val="single"/>
          <w:vertAlign w:val="superscript"/>
          <w:lang w:val="es-PA"/>
        </w:rPr>
        <w:t>2</w:t>
      </w:r>
      <w:r>
        <w:rPr>
          <w:rFonts w:hint="default" w:ascii="Arial" w:hAnsi="Arial" w:cs="Arial" w:eastAsiaTheme="minorEastAsia"/>
          <w:i w:val="0"/>
          <w:iCs w:val="0"/>
          <w:color w:val="auto"/>
          <w:sz w:val="20"/>
          <w:szCs w:val="20"/>
          <w:vertAlign w:val="baseline"/>
          <w:lang w:val="es-PA"/>
        </w:rPr>
        <w:t xml:space="preserve">, seguidamente establece la cláusula Cuarta, que el arrendatario utilizará el lote como sala de control, patio de producción, lugar de acopio de materiales y/o equipos, para la mezcla asfáltica, adicional, indica esta misma cláusula, que el arrendador autoriza a utilizar el resto de la </w:t>
      </w:r>
      <w:r>
        <w:rPr>
          <w:rFonts w:hint="default" w:ascii="Arial" w:hAnsi="Arial" w:cs="Arial" w:eastAsiaTheme="minorEastAsia"/>
          <w:b w:val="0"/>
          <w:bCs w:val="0"/>
          <w:i w:val="0"/>
          <w:iCs w:val="0"/>
          <w:color w:val="auto"/>
          <w:sz w:val="20"/>
          <w:szCs w:val="20"/>
          <w:u w:val="single"/>
          <w:vertAlign w:val="baseline"/>
          <w:lang w:val="es-PA"/>
        </w:rPr>
        <w:t>finca</w:t>
      </w:r>
      <w:r>
        <w:rPr>
          <w:rFonts w:hint="default" w:ascii="Arial" w:hAnsi="Arial" w:cs="Arial" w:eastAsiaTheme="minorEastAsia"/>
          <w:i w:val="0"/>
          <w:iCs w:val="0"/>
          <w:color w:val="auto"/>
          <w:sz w:val="20"/>
          <w:szCs w:val="20"/>
          <w:vertAlign w:val="baseline"/>
          <w:lang w:val="es-PA"/>
        </w:rPr>
        <w:t xml:space="preserve"> como sitio de botadero de material desechable proveniente del proyecto. </w:t>
      </w:r>
    </w:p>
    <w:p>
      <w:pPr>
        <w:numPr>
          <w:ilvl w:val="0"/>
          <w:numId w:val="3"/>
        </w:numPr>
        <w:spacing w:before="180" w:line="240" w:lineRule="auto"/>
        <w:ind w:left="1265" w:leftChars="0" w:right="72" w:rightChars="0" w:hanging="425" w:firstLineChars="0"/>
        <w:jc w:val="both"/>
        <w:rPr>
          <w:rFonts w:hint="default" w:ascii="Arial" w:hAnsi="Arial" w:cs="Arial" w:eastAsiaTheme="minorEastAsia"/>
          <w:i w:val="0"/>
          <w:iCs w:val="0"/>
          <w:color w:val="auto"/>
          <w:sz w:val="20"/>
          <w:szCs w:val="20"/>
          <w:lang w:val="es-PA"/>
        </w:rPr>
      </w:pPr>
      <w:r>
        <w:rPr>
          <w:rFonts w:hint="default" w:ascii="Arial" w:hAnsi="Arial" w:cs="Arial" w:eastAsiaTheme="minorEastAsia"/>
          <w:b w:val="0"/>
          <w:bCs w:val="0"/>
          <w:i w:val="0"/>
          <w:iCs w:val="0"/>
          <w:color w:val="auto"/>
          <w:sz w:val="20"/>
          <w:szCs w:val="20"/>
          <w:lang w:val="es-PA"/>
        </w:rPr>
        <w:t>Indicar coordenadas UTM del polígono y el área en metros cuadrados que será utilizada de la Finca con Folio Real No. 1059 (F), como sitio de botadero (tal cual lo establece la Cláusula Cuarta del Contrato de Arrendamiento). Indicar el volumen de material en m</w:t>
      </w:r>
      <w:r>
        <w:rPr>
          <w:rFonts w:hint="default" w:ascii="Arial" w:hAnsi="Arial" w:cs="Arial" w:eastAsiaTheme="minorEastAsia"/>
          <w:b w:val="0"/>
          <w:bCs w:val="0"/>
          <w:i w:val="0"/>
          <w:iCs w:val="0"/>
          <w:color w:val="auto"/>
          <w:sz w:val="20"/>
          <w:szCs w:val="20"/>
          <w:vertAlign w:val="superscript"/>
          <w:lang w:val="es-PA"/>
        </w:rPr>
        <w:t xml:space="preserve">3 </w:t>
      </w:r>
      <w:r>
        <w:rPr>
          <w:rFonts w:hint="default" w:ascii="Arial" w:hAnsi="Arial" w:cs="Arial" w:eastAsiaTheme="minorEastAsia"/>
          <w:b w:val="0"/>
          <w:bCs w:val="0"/>
          <w:i w:val="0"/>
          <w:iCs w:val="0"/>
          <w:color w:val="auto"/>
          <w:sz w:val="20"/>
          <w:szCs w:val="20"/>
          <w:lang w:val="es-PA"/>
        </w:rPr>
        <w:t>que será depositado en dicha Finca.</w:t>
      </w:r>
    </w:p>
    <w:p>
      <w:pPr>
        <w:numPr>
          <w:ilvl w:val="0"/>
          <w:numId w:val="1"/>
        </w:numPr>
        <w:spacing w:before="180" w:line="240" w:lineRule="auto"/>
        <w:ind w:left="425" w:leftChars="0" w:right="72" w:rightChars="0" w:hanging="425" w:firstLineChars="0"/>
        <w:jc w:val="both"/>
        <w:rPr>
          <w:rFonts w:hint="default" w:ascii="Arial" w:hAnsi="Arial" w:cs="Arial" w:eastAsiaTheme="minorEastAsia"/>
          <w:i w:val="0"/>
          <w:iCs w:val="0"/>
          <w:color w:val="auto"/>
          <w:sz w:val="20"/>
          <w:szCs w:val="20"/>
          <w:lang w:val="es-PA"/>
        </w:rPr>
      </w:pPr>
      <w:r>
        <w:rPr>
          <w:rFonts w:hint="default" w:ascii="Arial" w:hAnsi="Arial" w:cs="Arial" w:eastAsiaTheme="minorEastAsia"/>
          <w:i w:val="0"/>
          <w:iCs w:val="0"/>
          <w:color w:val="auto"/>
          <w:sz w:val="20"/>
          <w:szCs w:val="20"/>
          <w:lang w:val="es-PA"/>
        </w:rPr>
        <w:t>En la Sección 5.3, Legislación, normas técnicas e instrumentos de gestión ambiental aplicables y su relación con el proyecto, obra o actividad, no se incluye la normativa ambiental vigente aplicable al tema de emisiones de fuentes fijas. Incluir.</w:t>
      </w:r>
    </w:p>
    <w:p>
      <w:pPr>
        <w:numPr>
          <w:numId w:val="0"/>
        </w:numPr>
        <w:tabs>
          <w:tab w:val="left" w:pos="425"/>
        </w:tabs>
        <w:spacing w:before="180" w:line="240" w:lineRule="auto"/>
        <w:ind w:right="72" w:rightChars="0"/>
        <w:jc w:val="both"/>
        <w:rPr>
          <w:rFonts w:hint="default" w:ascii="Arial" w:hAnsi="Arial" w:cs="Arial" w:eastAsiaTheme="minorEastAsia"/>
          <w:i w:val="0"/>
          <w:iCs w:val="0"/>
          <w:color w:val="auto"/>
          <w:sz w:val="20"/>
          <w:szCs w:val="20"/>
          <w:lang w:val="es-PA"/>
        </w:rPr>
      </w:pPr>
    </w:p>
    <w:p>
      <w:pPr>
        <w:numPr>
          <w:numId w:val="0"/>
        </w:numPr>
        <w:tabs>
          <w:tab w:val="left" w:pos="425"/>
        </w:tabs>
        <w:spacing w:before="180" w:line="240" w:lineRule="auto"/>
        <w:ind w:right="72" w:rightChars="0"/>
        <w:jc w:val="both"/>
        <w:rPr>
          <w:rFonts w:hint="default" w:ascii="Arial" w:hAnsi="Arial" w:cs="Arial" w:eastAsiaTheme="minorEastAsia"/>
          <w:i w:val="0"/>
          <w:iCs w:val="0"/>
          <w:color w:val="auto"/>
          <w:sz w:val="20"/>
          <w:szCs w:val="20"/>
          <w:lang w:val="es-PA"/>
        </w:rPr>
      </w:pPr>
    </w:p>
    <w:p>
      <w:pPr>
        <w:numPr>
          <w:numId w:val="0"/>
        </w:numPr>
        <w:tabs>
          <w:tab w:val="left" w:pos="425"/>
        </w:tabs>
        <w:spacing w:before="180" w:line="240" w:lineRule="auto"/>
        <w:ind w:right="72" w:rightChars="0"/>
        <w:jc w:val="both"/>
        <w:rPr>
          <w:rFonts w:hint="default" w:ascii="Arial" w:hAnsi="Arial" w:cs="Arial" w:eastAsiaTheme="minorEastAsia"/>
          <w:i w:val="0"/>
          <w:iCs w:val="0"/>
          <w:color w:val="auto"/>
          <w:sz w:val="20"/>
          <w:szCs w:val="20"/>
          <w:lang w:val="es-PA"/>
        </w:rPr>
      </w:pPr>
    </w:p>
    <w:p>
      <w:pPr>
        <w:numPr>
          <w:ilvl w:val="0"/>
          <w:numId w:val="1"/>
        </w:numPr>
        <w:spacing w:before="180" w:line="240" w:lineRule="auto"/>
        <w:ind w:left="425" w:leftChars="0" w:right="72" w:rightChars="0" w:hanging="425" w:firstLineChars="0"/>
        <w:jc w:val="both"/>
        <w:rPr>
          <w:rFonts w:hint="default" w:ascii="Arial" w:hAnsi="Arial" w:cs="Arial" w:eastAsiaTheme="minorEastAsia"/>
          <w:i w:val="0"/>
          <w:iCs w:val="0"/>
          <w:color w:val="auto"/>
          <w:sz w:val="20"/>
          <w:szCs w:val="20"/>
          <w:lang w:val="es-PA"/>
        </w:rPr>
      </w:pPr>
      <w:r>
        <w:rPr>
          <w:rFonts w:hint="default" w:ascii="Arial" w:hAnsi="Arial" w:cs="Arial" w:eastAsiaTheme="minorEastAsia"/>
          <w:i w:val="0"/>
          <w:iCs w:val="0"/>
          <w:color w:val="auto"/>
          <w:sz w:val="20"/>
          <w:szCs w:val="20"/>
          <w:lang w:val="es-PA"/>
        </w:rPr>
        <w:t xml:space="preserve">En la Sección 5.4.2 Construcción / Ejecución (página 27), se incluyen como actividades y obras civiles necesarias para la instalación de la planta de asfalto, la construcción de </w:t>
      </w:r>
      <w:r>
        <w:rPr>
          <w:rFonts w:hint="default" w:ascii="Arial" w:hAnsi="Arial" w:cs="Arial" w:eastAsiaTheme="minorEastAsia"/>
          <w:i w:val="0"/>
          <w:iCs w:val="0"/>
          <w:color w:val="auto"/>
          <w:sz w:val="20"/>
          <w:szCs w:val="20"/>
          <w:u w:val="single"/>
          <w:lang w:val="es-PA"/>
        </w:rPr>
        <w:t>muros de contención</w:t>
      </w:r>
      <w:r>
        <w:rPr>
          <w:rFonts w:hint="default" w:ascii="Arial" w:hAnsi="Arial" w:cs="Arial" w:eastAsiaTheme="minorEastAsia"/>
          <w:i w:val="0"/>
          <w:iCs w:val="0"/>
          <w:color w:val="auto"/>
          <w:sz w:val="20"/>
          <w:szCs w:val="20"/>
          <w:lang w:val="es-PA"/>
        </w:rPr>
        <w:t xml:space="preserve"> alrededor de los tanques de reserva de aceite y de combustible y </w:t>
      </w:r>
      <w:r>
        <w:rPr>
          <w:rFonts w:hint="default" w:ascii="Arial" w:hAnsi="Arial" w:cs="Arial" w:eastAsiaTheme="minorEastAsia"/>
          <w:i w:val="0"/>
          <w:iCs w:val="0"/>
          <w:color w:val="auto"/>
          <w:sz w:val="20"/>
          <w:szCs w:val="20"/>
          <w:u w:val="single"/>
          <w:lang w:val="es-PA"/>
        </w:rPr>
        <w:t>tinas de sedimentación</w:t>
      </w:r>
      <w:r>
        <w:rPr>
          <w:rFonts w:hint="default" w:ascii="Arial" w:hAnsi="Arial" w:cs="Arial" w:eastAsiaTheme="minorEastAsia"/>
          <w:i w:val="0"/>
          <w:iCs w:val="0"/>
          <w:color w:val="auto"/>
          <w:sz w:val="20"/>
          <w:szCs w:val="20"/>
          <w:lang w:val="es-PA"/>
        </w:rPr>
        <w:t xml:space="preserve"> para captar los desechos (polvos) provenientes de la producción de la mezcla asfáltica. Por lo antes expuesto: </w:t>
      </w:r>
    </w:p>
    <w:p>
      <w:pPr>
        <w:numPr>
          <w:ilvl w:val="0"/>
          <w:numId w:val="4"/>
        </w:numPr>
        <w:spacing w:before="180" w:line="240" w:lineRule="auto"/>
        <w:ind w:left="1265" w:leftChars="0" w:right="72" w:rightChars="0" w:hanging="425" w:firstLineChars="0"/>
        <w:jc w:val="both"/>
        <w:rPr>
          <w:rFonts w:hint="default" w:ascii="Arial" w:hAnsi="Arial" w:cs="Arial" w:eastAsiaTheme="minorEastAsia"/>
          <w:i w:val="0"/>
          <w:iCs w:val="0"/>
          <w:color w:val="auto"/>
          <w:sz w:val="20"/>
          <w:szCs w:val="20"/>
          <w:lang w:val="es-PA"/>
        </w:rPr>
      </w:pPr>
      <w:r>
        <w:rPr>
          <w:rFonts w:hint="default" w:ascii="Arial" w:hAnsi="Arial" w:cs="Arial" w:eastAsiaTheme="minorEastAsia"/>
          <w:i w:val="0"/>
          <w:iCs w:val="0"/>
          <w:color w:val="auto"/>
          <w:sz w:val="20"/>
          <w:szCs w:val="20"/>
          <w:lang w:val="es-PA"/>
        </w:rPr>
        <w:t>Indicar el área en metros cuadrados que abarcarán los muros de contención de tanques de combustible y tinas de sedimentación. Adicional, indicar la disposición final que se le dará a los residuos generados del desmantelamiento y/o demolición de dichas estructuras, durante la etapa de abandono del proyecto.</w:t>
      </w:r>
    </w:p>
    <w:p>
      <w:pPr>
        <w:numPr>
          <w:ilvl w:val="0"/>
          <w:numId w:val="1"/>
        </w:numPr>
        <w:spacing w:before="180" w:line="240" w:lineRule="auto"/>
        <w:ind w:left="425" w:leftChars="0" w:right="72" w:rightChars="0" w:hanging="425" w:firstLineChars="0"/>
        <w:jc w:val="both"/>
        <w:rPr>
          <w:rFonts w:hint="default" w:ascii="Arial" w:hAnsi="Arial" w:cs="Arial" w:eastAsiaTheme="minorEastAsia"/>
          <w:i w:val="0"/>
          <w:iCs w:val="0"/>
          <w:color w:val="auto"/>
          <w:sz w:val="20"/>
          <w:szCs w:val="20"/>
          <w:lang w:val="es-PA"/>
        </w:rPr>
      </w:pPr>
      <w:r>
        <w:rPr>
          <w:rFonts w:hint="default" w:ascii="Arial" w:hAnsi="Arial" w:cs="Arial" w:eastAsiaTheme="minorEastAsia"/>
          <w:i w:val="0"/>
          <w:iCs w:val="0"/>
          <w:color w:val="auto"/>
          <w:sz w:val="20"/>
          <w:szCs w:val="20"/>
          <w:lang w:val="es-PA"/>
        </w:rPr>
        <w:t xml:space="preserve">En el Capítulo 10, Plan de Manejo Ambiental, Tabla 10.4. Generación de polvo, emisiones y ruido (página 77), se establece que se deberá “Efectuar mantenimiento de los equipos pesados y maquinarias de la planta para evitar emisiones de fuentes móviles”. </w:t>
      </w:r>
    </w:p>
    <w:p>
      <w:pPr>
        <w:numPr>
          <w:ilvl w:val="0"/>
          <w:numId w:val="5"/>
        </w:numPr>
        <w:spacing w:before="180" w:line="240" w:lineRule="auto"/>
        <w:ind w:left="1265" w:leftChars="0" w:right="72" w:rightChars="0" w:hanging="425" w:firstLineChars="0"/>
        <w:jc w:val="both"/>
        <w:rPr>
          <w:rFonts w:hint="default" w:ascii="Arial" w:hAnsi="Arial" w:cs="Arial" w:eastAsiaTheme="minorEastAsia"/>
          <w:i w:val="0"/>
          <w:iCs w:val="0"/>
          <w:color w:val="auto"/>
          <w:sz w:val="20"/>
          <w:szCs w:val="20"/>
          <w:lang w:val="es-PA"/>
        </w:rPr>
      </w:pPr>
      <w:r>
        <w:rPr>
          <w:rFonts w:hint="default" w:ascii="Arial" w:hAnsi="Arial" w:cs="Arial" w:eastAsiaTheme="minorEastAsia"/>
          <w:i w:val="0"/>
          <w:iCs w:val="0"/>
          <w:color w:val="auto"/>
          <w:sz w:val="20"/>
          <w:szCs w:val="20"/>
          <w:lang w:val="es-PA"/>
        </w:rPr>
        <w:t xml:space="preserve">Aclarar e indicar, cuales son las fuentes móviles (de la planta), que serán </w:t>
      </w:r>
      <w:bookmarkStart w:id="0" w:name="_GoBack"/>
      <w:bookmarkEnd w:id="0"/>
      <w:r>
        <w:rPr>
          <w:rFonts w:hint="default" w:ascii="Arial" w:hAnsi="Arial" w:cs="Arial" w:eastAsiaTheme="minorEastAsia"/>
          <w:i w:val="0"/>
          <w:iCs w:val="0"/>
          <w:color w:val="auto"/>
          <w:sz w:val="20"/>
          <w:szCs w:val="20"/>
          <w:lang w:val="es-PA"/>
        </w:rPr>
        <w:t xml:space="preserve">generadoras de emisiones, tal como lo establece la medida. </w:t>
      </w:r>
    </w:p>
    <w:p>
      <w:pPr>
        <w:numPr>
          <w:ilvl w:val="0"/>
          <w:numId w:val="1"/>
        </w:numPr>
        <w:spacing w:before="180" w:line="240" w:lineRule="auto"/>
        <w:ind w:left="425" w:leftChars="0" w:right="72" w:rightChars="0" w:hanging="425" w:firstLineChars="0"/>
        <w:jc w:val="both"/>
        <w:rPr>
          <w:rFonts w:hint="default" w:ascii="Arial" w:hAnsi="Arial" w:cs="Arial" w:eastAsiaTheme="minorEastAsia"/>
          <w:i w:val="0"/>
          <w:iCs w:val="0"/>
          <w:color w:val="auto"/>
          <w:sz w:val="20"/>
          <w:szCs w:val="20"/>
          <w:lang w:val="es-PA"/>
        </w:rPr>
      </w:pPr>
      <w:r>
        <w:rPr>
          <w:rFonts w:hint="default" w:ascii="Arial" w:hAnsi="Arial" w:cs="Arial" w:eastAsiaTheme="minorEastAsia"/>
          <w:i w:val="0"/>
          <w:iCs w:val="0"/>
          <w:color w:val="auto"/>
          <w:sz w:val="20"/>
          <w:szCs w:val="20"/>
          <w:lang w:val="es-PA"/>
        </w:rPr>
        <w:t xml:space="preserve">En la Sección 10.3 , Monitoreo; Tabla 10.9 Cronograma de Monitoreo Ambiental (página 83), se establece que se realizarán mediciones de Calidad de Aire (Emisiones a la atmósfera) y Ruido Ambiental, sin embargo, en la Tabla 10.10 Cronograma para la ejecución de los monitoreos ambientales (página 84), se establece que se realizarán mediciones de Ruido laboral y ambiental, monitoreo de calidad de aire y monitoreo de emisiones atmosféricas. </w:t>
      </w:r>
    </w:p>
    <w:p>
      <w:pPr>
        <w:numPr>
          <w:ilvl w:val="0"/>
          <w:numId w:val="6"/>
        </w:numPr>
        <w:spacing w:before="180" w:line="240" w:lineRule="auto"/>
        <w:ind w:left="1265" w:leftChars="0" w:right="72" w:rightChars="0" w:hanging="425" w:firstLineChars="0"/>
        <w:jc w:val="both"/>
        <w:rPr>
          <w:rFonts w:hint="default" w:ascii="Arial" w:hAnsi="Arial" w:cs="Arial" w:eastAsiaTheme="minorEastAsia"/>
          <w:i w:val="0"/>
          <w:iCs w:val="0"/>
          <w:color w:val="auto"/>
          <w:sz w:val="20"/>
          <w:szCs w:val="20"/>
          <w:lang w:val="es-PA"/>
        </w:rPr>
      </w:pPr>
      <w:r>
        <w:rPr>
          <w:rFonts w:hint="default" w:ascii="Arial" w:hAnsi="Arial" w:cs="Arial" w:eastAsiaTheme="minorEastAsia"/>
          <w:i w:val="0"/>
          <w:iCs w:val="0"/>
          <w:color w:val="auto"/>
          <w:sz w:val="20"/>
          <w:szCs w:val="20"/>
          <w:lang w:val="es-PA"/>
        </w:rPr>
        <w:t xml:space="preserve">Aclarar y detallar los monitoreos ambientales y ocupacionales que forman parte del Plan de Monitoreo del EsIA, y la normativa aplicable para cada una de estas mediciones. </w:t>
      </w:r>
    </w:p>
    <w:p>
      <w:pPr>
        <w:numPr>
          <w:ilvl w:val="0"/>
          <w:numId w:val="6"/>
        </w:numPr>
        <w:spacing w:before="180" w:line="240" w:lineRule="auto"/>
        <w:ind w:left="1265" w:leftChars="0" w:right="72" w:rightChars="0" w:hanging="425" w:firstLineChars="0"/>
        <w:jc w:val="both"/>
        <w:rPr>
          <w:rFonts w:hint="default" w:ascii="Arial" w:hAnsi="Arial" w:cs="Arial" w:eastAsiaTheme="minorEastAsia"/>
          <w:i w:val="0"/>
          <w:iCs w:val="0"/>
          <w:color w:val="auto"/>
          <w:sz w:val="20"/>
          <w:szCs w:val="20"/>
          <w:lang w:val="es-PA"/>
        </w:rPr>
      </w:pPr>
      <w:r>
        <w:rPr>
          <w:rFonts w:hint="default" w:ascii="Arial" w:hAnsi="Arial" w:cs="Arial" w:eastAsiaTheme="minorEastAsia"/>
          <w:i w:val="0"/>
          <w:iCs w:val="0"/>
          <w:color w:val="auto"/>
          <w:sz w:val="20"/>
          <w:szCs w:val="20"/>
          <w:lang w:val="es-PA"/>
        </w:rPr>
        <w:t xml:space="preserve">Corregir las Tablas 10.9 y 10.10, de forma tal, que la información presentada sea congruente. </w:t>
      </w:r>
    </w:p>
    <w:p>
      <w:pPr>
        <w:numPr>
          <w:ilvl w:val="0"/>
          <w:numId w:val="0"/>
        </w:numPr>
        <w:spacing w:before="180" w:line="240" w:lineRule="auto"/>
        <w:ind w:right="72" w:rightChars="0"/>
        <w:jc w:val="both"/>
        <w:rPr>
          <w:rFonts w:hint="default" w:ascii="Arial" w:hAnsi="Arial" w:cs="Arial" w:eastAsiaTheme="minorEastAsia"/>
          <w:sz w:val="20"/>
          <w:szCs w:val="20"/>
          <w:lang w:val="zh-CN"/>
        </w:rPr>
      </w:pPr>
      <w:r>
        <w:rPr>
          <w:rFonts w:hint="default" w:ascii="Arial" w:hAnsi="Arial" w:cs="Arial" w:eastAsiaTheme="minorEastAsia"/>
          <w:sz w:val="20"/>
          <w:szCs w:val="20"/>
          <w:lang w:val="zh-CN"/>
        </w:rPr>
        <w:t>Ad</w:t>
      </w:r>
      <w:r>
        <w:rPr>
          <w:rFonts w:hint="default" w:ascii="Arial" w:hAnsi="Arial" w:cs="Arial" w:eastAsiaTheme="minorEastAsia"/>
          <w:sz w:val="20"/>
          <w:szCs w:val="20"/>
          <w:lang w:val="es-PA"/>
        </w:rPr>
        <w:t>icional</w:t>
      </w:r>
      <w:r>
        <w:rPr>
          <w:rFonts w:hint="default" w:ascii="Arial" w:hAnsi="Arial" w:cs="Arial" w:eastAsiaTheme="minorEastAsia"/>
          <w:sz w:val="20"/>
          <w:szCs w:val="20"/>
          <w:lang w:val="zh-CN"/>
        </w:rPr>
        <w:t>, queremos informarle que transcurridos quince (15) días del recibo de la nota, sin que haya cumplido con lo solicitado, se tomará la decisión correspondiente, según lo establecido en el artículo 9 del Decreto Ejecutivo Nº 155 de 05 de agosto de 2011.</w:t>
      </w:r>
    </w:p>
    <w:p>
      <w:pPr>
        <w:pStyle w:val="2"/>
        <w:spacing w:line="240" w:lineRule="auto"/>
        <w:jc w:val="both"/>
        <w:rPr>
          <w:rFonts w:hint="default" w:ascii="Arial" w:hAnsi="Arial" w:cs="Arial" w:eastAsiaTheme="minorEastAsia"/>
          <w:sz w:val="20"/>
          <w:szCs w:val="20"/>
          <w:lang w:val="zh-CN"/>
        </w:rPr>
      </w:pPr>
    </w:p>
    <w:p>
      <w:pPr>
        <w:pStyle w:val="2"/>
        <w:spacing w:line="240" w:lineRule="auto"/>
        <w:ind w:left="119"/>
        <w:jc w:val="both"/>
        <w:rPr>
          <w:rFonts w:hint="default" w:ascii="Arial" w:hAnsi="Arial" w:cs="Arial" w:eastAsiaTheme="minorEastAsia"/>
          <w:sz w:val="20"/>
          <w:szCs w:val="20"/>
          <w:lang w:val="zh-CN"/>
        </w:rPr>
      </w:pPr>
      <w:r>
        <w:rPr>
          <w:rFonts w:hint="default" w:ascii="Arial" w:hAnsi="Arial" w:cs="Arial" w:eastAsiaTheme="minorEastAsia"/>
          <w:sz w:val="20"/>
          <w:szCs w:val="20"/>
          <w:lang w:val="zh-CN"/>
        </w:rPr>
        <w:t>Atentamente,</w:t>
      </w:r>
    </w:p>
    <w:p>
      <w:pPr>
        <w:pStyle w:val="2"/>
        <w:spacing w:line="240" w:lineRule="auto"/>
        <w:jc w:val="both"/>
        <w:rPr>
          <w:rFonts w:hint="default" w:ascii="Arial" w:hAnsi="Arial" w:cs="Arial" w:eastAsiaTheme="minorEastAsia"/>
          <w:sz w:val="20"/>
          <w:szCs w:val="20"/>
          <w:lang w:val="zh-CN"/>
        </w:rPr>
      </w:pPr>
    </w:p>
    <w:p>
      <w:pPr>
        <w:pStyle w:val="2"/>
        <w:spacing w:before="6" w:line="240" w:lineRule="auto"/>
        <w:jc w:val="both"/>
        <w:rPr>
          <w:rFonts w:hint="default" w:ascii="Arial" w:hAnsi="Arial" w:cs="Arial" w:eastAsiaTheme="minorEastAsia"/>
          <w:sz w:val="20"/>
          <w:szCs w:val="20"/>
          <w:lang w:val="zh-CN"/>
        </w:rPr>
      </w:pPr>
    </w:p>
    <w:p>
      <w:pPr>
        <w:pStyle w:val="2"/>
        <w:spacing w:before="6" w:line="240" w:lineRule="auto"/>
        <w:jc w:val="both"/>
        <w:rPr>
          <w:rFonts w:hint="default" w:ascii="Arial" w:hAnsi="Arial" w:cs="Arial" w:eastAsiaTheme="minorEastAsia"/>
          <w:sz w:val="20"/>
          <w:szCs w:val="20"/>
          <w:lang w:val="zh-CN"/>
        </w:rPr>
      </w:pPr>
    </w:p>
    <w:p>
      <w:pPr>
        <w:pStyle w:val="2"/>
        <w:spacing w:line="240" w:lineRule="auto"/>
        <w:ind w:left="119"/>
        <w:jc w:val="both"/>
        <w:rPr>
          <w:rFonts w:hint="default" w:ascii="Arial" w:hAnsi="Arial" w:cs="Arial" w:eastAsiaTheme="minorEastAsia"/>
          <w:b/>
          <w:bCs/>
          <w:sz w:val="20"/>
          <w:szCs w:val="20"/>
          <w:lang w:val="es-PA"/>
        </w:rPr>
      </w:pPr>
      <w:r>
        <w:rPr>
          <w:rFonts w:hint="default" w:ascii="Arial" w:hAnsi="Arial" w:cs="Arial" w:eastAsiaTheme="minorEastAsia"/>
          <w:b/>
          <w:bCs/>
          <w:sz w:val="20"/>
          <w:szCs w:val="20"/>
          <w:lang w:val="es-PA"/>
        </w:rPr>
        <w:t>__________________________</w:t>
      </w:r>
    </w:p>
    <w:p>
      <w:pPr>
        <w:pStyle w:val="2"/>
        <w:spacing w:line="240" w:lineRule="auto"/>
        <w:ind w:left="119"/>
        <w:jc w:val="both"/>
        <w:rPr>
          <w:rFonts w:hint="default" w:ascii="Arial" w:hAnsi="Arial" w:cs="Arial" w:eastAsiaTheme="minorEastAsia"/>
          <w:b/>
          <w:bCs/>
          <w:sz w:val="20"/>
          <w:szCs w:val="20"/>
          <w:lang w:val="es-PA"/>
        </w:rPr>
      </w:pPr>
      <w:r>
        <w:rPr>
          <w:rFonts w:hint="default" w:ascii="Arial" w:hAnsi="Arial" w:cs="Arial" w:eastAsiaTheme="minorEastAsia"/>
          <w:b/>
          <w:bCs/>
          <w:sz w:val="20"/>
          <w:szCs w:val="20"/>
          <w:lang w:val="es-PA"/>
        </w:rPr>
        <w:t>ING. JUAN SAMANIEGO</w:t>
      </w:r>
    </w:p>
    <w:p>
      <w:pPr>
        <w:pStyle w:val="2"/>
        <w:spacing w:line="240" w:lineRule="auto"/>
        <w:ind w:left="119"/>
        <w:jc w:val="both"/>
        <w:rPr>
          <w:rFonts w:hint="default" w:ascii="Arial" w:hAnsi="Arial" w:cs="Arial" w:eastAsiaTheme="minorEastAsia"/>
          <w:sz w:val="20"/>
          <w:szCs w:val="20"/>
          <w:lang w:val="es-PA"/>
        </w:rPr>
      </w:pPr>
      <w:r>
        <w:rPr>
          <w:rFonts w:hint="default" w:ascii="Arial" w:hAnsi="Arial" w:cs="Arial" w:eastAsiaTheme="minorEastAsia"/>
          <w:sz w:val="20"/>
          <w:szCs w:val="20"/>
          <w:lang w:val="zh-CN"/>
        </w:rPr>
        <w:t xml:space="preserve">Director Regional </w:t>
      </w:r>
      <w:r>
        <w:rPr>
          <w:rFonts w:hint="default" w:ascii="Arial" w:hAnsi="Arial" w:cs="Arial" w:eastAsiaTheme="minorEastAsia"/>
          <w:sz w:val="20"/>
          <w:szCs w:val="20"/>
          <w:lang w:val="es-PA"/>
        </w:rPr>
        <w:t>Encargado</w:t>
      </w:r>
    </w:p>
    <w:p>
      <w:pPr>
        <w:pStyle w:val="2"/>
        <w:spacing w:line="240" w:lineRule="auto"/>
        <w:rPr>
          <w:rFonts w:hint="default" w:ascii="Arial" w:hAnsi="Arial" w:cs="Arial" w:eastAsiaTheme="minorEastAsia"/>
          <w:sz w:val="20"/>
          <w:szCs w:val="20"/>
          <w:lang w:val="zh-CN"/>
        </w:rPr>
      </w:pPr>
    </w:p>
    <w:p>
      <w:pPr>
        <w:spacing w:before="216" w:line="240" w:lineRule="auto"/>
        <w:ind w:left="119"/>
        <w:jc w:val="both"/>
        <w:rPr>
          <w:rFonts w:hint="default" w:ascii="Arial" w:hAnsi="Arial" w:cs="Arial" w:eastAsiaTheme="minorEastAsia"/>
          <w:color w:val="auto"/>
          <w:sz w:val="20"/>
          <w:szCs w:val="20"/>
          <w:lang w:val="es-PA"/>
        </w:rPr>
      </w:pPr>
      <w:r>
        <w:rPr>
          <w:rFonts w:hint="default" w:ascii="Arial" w:hAnsi="Arial" w:cs="Arial" w:eastAsiaTheme="minorEastAsia"/>
          <w:color w:val="auto"/>
          <w:sz w:val="20"/>
          <w:szCs w:val="20"/>
          <w:lang w:val="es-PA"/>
        </w:rPr>
        <w:t>JS</w:t>
      </w:r>
      <w:r>
        <w:rPr>
          <w:rFonts w:hint="default" w:ascii="Arial" w:hAnsi="Arial" w:cs="Arial" w:eastAsiaTheme="minorEastAsia"/>
          <w:color w:val="auto"/>
          <w:sz w:val="20"/>
          <w:szCs w:val="20"/>
        </w:rPr>
        <w:t>/</w:t>
      </w:r>
      <w:r>
        <w:rPr>
          <w:rFonts w:hint="default" w:ascii="Arial" w:hAnsi="Arial" w:cs="Arial" w:eastAsiaTheme="minorEastAsia"/>
          <w:color w:val="auto"/>
          <w:sz w:val="20"/>
          <w:szCs w:val="20"/>
          <w:lang w:val="es-PA"/>
        </w:rPr>
        <w:t>LP</w:t>
      </w:r>
      <w:r>
        <w:rPr>
          <w:rFonts w:hint="default" w:ascii="Arial" w:hAnsi="Arial" w:cs="Arial" w:eastAsiaTheme="minorEastAsia"/>
          <w:color w:val="auto"/>
          <w:sz w:val="20"/>
          <w:szCs w:val="20"/>
        </w:rPr>
        <w:t>/</w:t>
      </w:r>
      <w:r>
        <w:rPr>
          <w:rFonts w:hint="default" w:ascii="Arial" w:hAnsi="Arial" w:cs="Arial" w:eastAsiaTheme="minorEastAsia"/>
          <w:color w:val="auto"/>
          <w:sz w:val="20"/>
          <w:szCs w:val="20"/>
          <w:lang w:val="es-PA"/>
        </w:rPr>
        <w:t>yb</w:t>
      </w:r>
    </w:p>
    <w:p>
      <w:pPr>
        <w:pStyle w:val="2"/>
        <w:spacing w:line="240" w:lineRule="auto"/>
        <w:rPr>
          <w:rFonts w:hint="default" w:ascii="Arial" w:hAnsi="Arial" w:cs="Arial" w:eastAsiaTheme="minorEastAsia"/>
          <w:sz w:val="20"/>
          <w:szCs w:val="20"/>
        </w:rPr>
      </w:pPr>
    </w:p>
    <w:p>
      <w:pPr>
        <w:pStyle w:val="2"/>
        <w:spacing w:before="9" w:line="240" w:lineRule="auto"/>
        <w:rPr>
          <w:rFonts w:hint="default" w:ascii="Arial" w:hAnsi="Arial" w:cs="Arial" w:eastAsiaTheme="minorEastAsia"/>
          <w:sz w:val="20"/>
          <w:szCs w:val="20"/>
        </w:rPr>
      </w:pPr>
    </w:p>
    <w:p>
      <w:pPr>
        <w:spacing w:line="240" w:lineRule="auto"/>
        <w:rPr>
          <w:rFonts w:hint="default" w:ascii="Arial" w:hAnsi="Arial" w:cs="Arial" w:eastAsiaTheme="minorEastAsia"/>
          <w:sz w:val="20"/>
          <w:szCs w:val="20"/>
        </w:rPr>
      </w:pPr>
      <w:r>
        <w:rPr>
          <w:rFonts w:hint="default" w:ascii="Arial" w:hAnsi="Arial" w:cs="Arial" w:eastAsiaTheme="minorEastAsia"/>
          <w:sz w:val="20"/>
          <w:szCs w:val="20"/>
        </w:rPr>
        <w:drawing>
          <wp:anchor distT="0" distB="0" distL="114300" distR="114300" simplePos="0" relativeHeight="251658240" behindDoc="0" locked="0" layoutInCell="1" allowOverlap="1">
            <wp:simplePos x="0" y="0"/>
            <wp:positionH relativeFrom="margin">
              <wp:posOffset>-2070735</wp:posOffset>
            </wp:positionH>
            <wp:positionV relativeFrom="margin">
              <wp:posOffset>8670925</wp:posOffset>
            </wp:positionV>
            <wp:extent cx="8930640" cy="64008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930640" cy="640080"/>
                    </a:xfrm>
                    <a:prstGeom prst="rect">
                      <a:avLst/>
                    </a:prstGeom>
                  </pic:spPr>
                </pic:pic>
              </a:graphicData>
            </a:graphic>
          </wp:anchor>
        </w:drawing>
      </w:r>
    </w:p>
    <w:sectPr>
      <w:headerReference r:id="rId3" w:type="default"/>
      <w:footerReference r:id="rId4" w:type="default"/>
      <w:pgSz w:w="12240" w:h="15840"/>
      <w:pgMar w:top="1417" w:right="1701" w:bottom="1417" w:left="1701" w:header="850" w:footer="907"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TimesNewRoman">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es-PA"/>
                            </w:rPr>
                          </w:pPr>
                          <w:r>
                            <w:rPr>
                              <w:rFonts w:hint="default"/>
                              <w:lang w:val="es-PA"/>
                            </w:rPr>
                            <w:fldChar w:fldCharType="begin"/>
                          </w:r>
                          <w:r>
                            <w:rPr>
                              <w:rFonts w:hint="default"/>
                              <w:lang w:val="es-PA"/>
                            </w:rPr>
                            <w:instrText xml:space="preserve"> PAGE  \* MERGEFORMAT </w:instrText>
                          </w:r>
                          <w:r>
                            <w:rPr>
                              <w:rFonts w:hint="default"/>
                              <w:lang w:val="es-PA"/>
                            </w:rPr>
                            <w:fldChar w:fldCharType="separate"/>
                          </w:r>
                          <w:r>
                            <w:rPr>
                              <w:rFonts w:hint="default"/>
                              <w:lang w:val="es-PA"/>
                            </w:rPr>
                            <w:t>1</w:t>
                          </w:r>
                          <w:r>
                            <w:rPr>
                              <w:rFonts w:hint="default"/>
                              <w:lang w:val="es-P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3"/>
                      <w:rPr>
                        <w:rFonts w:hint="default"/>
                        <w:lang w:val="es-PA"/>
                      </w:rPr>
                    </w:pPr>
                    <w:r>
                      <w:rPr>
                        <w:rFonts w:hint="default"/>
                        <w:lang w:val="es-PA"/>
                      </w:rPr>
                      <w:fldChar w:fldCharType="begin"/>
                    </w:r>
                    <w:r>
                      <w:rPr>
                        <w:rFonts w:hint="default"/>
                        <w:lang w:val="es-PA"/>
                      </w:rPr>
                      <w:instrText xml:space="preserve"> PAGE  \* MERGEFORMAT </w:instrText>
                    </w:r>
                    <w:r>
                      <w:rPr>
                        <w:rFonts w:hint="default"/>
                        <w:lang w:val="es-PA"/>
                      </w:rPr>
                      <w:fldChar w:fldCharType="separate"/>
                    </w:r>
                    <w:r>
                      <w:rPr>
                        <w:rFonts w:hint="default"/>
                        <w:lang w:val="es-PA"/>
                      </w:rPr>
                      <w:t>1</w:t>
                    </w:r>
                    <w:r>
                      <w:rPr>
                        <w:rFonts w:hint="default"/>
                        <w:lang w:val="es-P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62336" behindDoc="0" locked="0" layoutInCell="1" allowOverlap="1">
          <wp:simplePos x="0" y="0"/>
          <wp:positionH relativeFrom="margin">
            <wp:posOffset>-1072515</wp:posOffset>
          </wp:positionH>
          <wp:positionV relativeFrom="margin">
            <wp:posOffset>-892175</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margin">
            <wp:posOffset>-2070735</wp:posOffset>
          </wp:positionH>
          <wp:positionV relativeFrom="margin">
            <wp:posOffset>8670925</wp:posOffset>
          </wp:positionV>
          <wp:extent cx="8930640" cy="64008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30640" cy="640080"/>
                  </a:xfrm>
                  <a:prstGeom prst="rect">
                    <a:avLst/>
                  </a:prstGeom>
                </pic:spPr>
              </pic:pic>
            </a:graphicData>
          </a:graphic>
        </wp:anchor>
      </w:drawing>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6669E5"/>
    <w:multiLevelType w:val="multilevel"/>
    <w:tmpl w:val="AD6669E5"/>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F06AADB9"/>
    <w:multiLevelType w:val="multilevel"/>
    <w:tmpl w:val="F06AADB9"/>
    <w:lvl w:ilvl="0" w:tentative="0">
      <w:start w:val="1"/>
      <w:numFmt w:val="lowerLetter"/>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
    <w:nsid w:val="1558C9AB"/>
    <w:multiLevelType w:val="multilevel"/>
    <w:tmpl w:val="1558C9AB"/>
    <w:lvl w:ilvl="0" w:tentative="0">
      <w:start w:val="1"/>
      <w:numFmt w:val="lowerLetter"/>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
    <w:nsid w:val="26B22D8B"/>
    <w:multiLevelType w:val="multilevel"/>
    <w:tmpl w:val="26B22D8B"/>
    <w:lvl w:ilvl="0" w:tentative="0">
      <w:start w:val="1"/>
      <w:numFmt w:val="lowerLetter"/>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
    <w:nsid w:val="3BEBD24B"/>
    <w:multiLevelType w:val="multilevel"/>
    <w:tmpl w:val="3BEBD24B"/>
    <w:lvl w:ilvl="0" w:tentative="0">
      <w:start w:val="1"/>
      <w:numFmt w:val="lowerLetter"/>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5">
    <w:nsid w:val="68430E9C"/>
    <w:multiLevelType w:val="multilevel"/>
    <w:tmpl w:val="68430E9C"/>
    <w:lvl w:ilvl="0" w:tentative="0">
      <w:start w:val="1"/>
      <w:numFmt w:val="lowerLetter"/>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E6E59"/>
    <w:rsid w:val="00254FAA"/>
    <w:rsid w:val="0027662B"/>
    <w:rsid w:val="002D333D"/>
    <w:rsid w:val="00431E17"/>
    <w:rsid w:val="00553336"/>
    <w:rsid w:val="005D1893"/>
    <w:rsid w:val="005E30A5"/>
    <w:rsid w:val="00612D9E"/>
    <w:rsid w:val="00713E0A"/>
    <w:rsid w:val="0081431C"/>
    <w:rsid w:val="00866A67"/>
    <w:rsid w:val="009874D2"/>
    <w:rsid w:val="00D258CF"/>
    <w:rsid w:val="00D81B23"/>
    <w:rsid w:val="00E90311"/>
    <w:rsid w:val="066000D4"/>
    <w:rsid w:val="0EEF09E2"/>
    <w:rsid w:val="155B39F3"/>
    <w:rsid w:val="169D5571"/>
    <w:rsid w:val="172200E2"/>
    <w:rsid w:val="17EA6512"/>
    <w:rsid w:val="19420973"/>
    <w:rsid w:val="213341A9"/>
    <w:rsid w:val="21E06BF4"/>
    <w:rsid w:val="232121FD"/>
    <w:rsid w:val="2369628E"/>
    <w:rsid w:val="29504913"/>
    <w:rsid w:val="297C0D6F"/>
    <w:rsid w:val="2C3D1C03"/>
    <w:rsid w:val="2F3F62B8"/>
    <w:rsid w:val="36C556C0"/>
    <w:rsid w:val="36CE1EB2"/>
    <w:rsid w:val="395F0F5E"/>
    <w:rsid w:val="3FB77546"/>
    <w:rsid w:val="402127D7"/>
    <w:rsid w:val="40CF1C73"/>
    <w:rsid w:val="4CD70D64"/>
    <w:rsid w:val="53846CB2"/>
    <w:rsid w:val="55753F91"/>
    <w:rsid w:val="560C0C9C"/>
    <w:rsid w:val="568C0957"/>
    <w:rsid w:val="58295D84"/>
    <w:rsid w:val="5B915D9F"/>
    <w:rsid w:val="61510117"/>
    <w:rsid w:val="66350BD6"/>
    <w:rsid w:val="665E6A98"/>
    <w:rsid w:val="679A4D3E"/>
    <w:rsid w:val="67CA3B85"/>
    <w:rsid w:val="682C5288"/>
    <w:rsid w:val="68D14D56"/>
    <w:rsid w:val="72333FFE"/>
    <w:rsid w:val="73BE427D"/>
    <w:rsid w:val="73F14092"/>
    <w:rsid w:val="745343C7"/>
    <w:rsid w:val="76E7316C"/>
    <w:rsid w:val="79266A40"/>
    <w:rsid w:val="7A4B76E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s-MX" w:eastAsia="en-US"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footer"/>
    <w:basedOn w:val="1"/>
    <w:link w:val="8"/>
    <w:unhideWhenUsed/>
    <w:qFormat/>
    <w:uiPriority w:val="99"/>
    <w:pPr>
      <w:tabs>
        <w:tab w:val="center" w:pos="4419"/>
        <w:tab w:val="right" w:pos="8838"/>
      </w:tabs>
    </w:pPr>
  </w:style>
  <w:style w:type="paragraph" w:styleId="4">
    <w:name w:val="header"/>
    <w:basedOn w:val="1"/>
    <w:link w:val="7"/>
    <w:unhideWhenUsed/>
    <w:qFormat/>
    <w:uiPriority w:val="99"/>
    <w:pPr>
      <w:tabs>
        <w:tab w:val="center" w:pos="4419"/>
        <w:tab w:val="right" w:pos="8838"/>
      </w:tabs>
    </w:pPr>
  </w:style>
  <w:style w:type="character" w:customStyle="1" w:styleId="7">
    <w:name w:val="Encabezado Car"/>
    <w:basedOn w:val="5"/>
    <w:link w:val="4"/>
    <w:qFormat/>
    <w:uiPriority w:val="99"/>
  </w:style>
  <w:style w:type="character" w:customStyle="1" w:styleId="8">
    <w:name w:val="Pie de página Car"/>
    <w:basedOn w:val="5"/>
    <w:link w:val="3"/>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Words>
  <Characters>7</Characters>
  <Lines>1</Lines>
  <Paragraphs>1</Paragraphs>
  <TotalTime>39</TotalTime>
  <ScaleCrop>false</ScaleCrop>
  <LinksUpToDate>false</LinksUpToDate>
  <CharactersWithSpaces>7</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2019-08-01T14:41:00Z</dcterms:created>
  <dc:creator>Microsoft Office User</dc:creator>
  <cp:lastModifiedBy>lpena</cp:lastModifiedBy>
  <dcterms:modified xsi:type="dcterms:W3CDTF">2019-10-01T20:29:41Z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