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B807A8">
        <w:rPr>
          <w:rFonts w:ascii="Times New Roman" w:eastAsia="Times New Roman" w:hAnsi="Times New Roman" w:cs="Times New Roman"/>
          <w:color w:val="00000A"/>
          <w:lang w:val="es-PA" w:eastAsia="es-ES"/>
        </w:rPr>
        <w:t>3 de octubre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B807A8">
        <w:rPr>
          <w:rFonts w:ascii="Times New Roman" w:eastAsia="Times New Roman" w:hAnsi="Times New Roman" w:cs="Times New Roman"/>
          <w:b/>
          <w:lang w:val="es-PA" w:eastAsia="es-ES"/>
        </w:rPr>
        <w:t>1577-10</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275F" w:rsidRPr="0032275F" w:rsidRDefault="00B807A8"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BOLIVAR ALVAREZ</w:t>
      </w:r>
    </w:p>
    <w:p w:rsidR="0032275F" w:rsidRPr="0032275F" w:rsidRDefault="00B807A8"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B807A8" w:rsidRDefault="00B807A8" w:rsidP="0032275F">
      <w:pPr>
        <w:spacing w:line="276" w:lineRule="auto"/>
        <w:jc w:val="both"/>
        <w:rPr>
          <w:rFonts w:ascii="Times New Roman" w:eastAsia="Times New Roman" w:hAnsi="Times New Roman" w:cs="Times New Roman"/>
          <w:b/>
          <w:lang w:val="es-ES" w:eastAsia="es-ES"/>
        </w:rPr>
      </w:pPr>
      <w:r w:rsidRPr="00B807A8">
        <w:rPr>
          <w:rFonts w:ascii="Times New Roman" w:eastAsia="Times New Roman" w:hAnsi="Times New Roman" w:cs="Times New Roman"/>
          <w:b/>
          <w:lang w:val="es-ES" w:eastAsia="es-ES"/>
        </w:rPr>
        <w:t>CONSTRUCTORA BOLIVAR ALVAREZ, S.A.</w:t>
      </w:r>
    </w:p>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B807A8"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URBANIZACIÓN VILLA VERDE</w:t>
      </w:r>
    </w:p>
    <w:p w:rsidR="0032275F" w:rsidRPr="0032275F" w:rsidRDefault="0032275F" w:rsidP="0032275F">
      <w:pPr>
        <w:spacing w:line="276" w:lineRule="auto"/>
        <w:jc w:val="both"/>
        <w:rPr>
          <w:rFonts w:ascii="Times New Roman" w:eastAsia="Times New Roman" w:hAnsi="Times New Roman" w:cs="Times New Roman"/>
          <w:lang w:val="es-ES"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r w:rsidR="00E33F17">
        <w:rPr>
          <w:rFonts w:ascii="Times New Roman" w:eastAsia="Times New Roman" w:hAnsi="Times New Roman" w:cs="Times New Roman"/>
          <w:b/>
          <w:lang w:val="es-ES" w:eastAsia="es-ES"/>
        </w:rPr>
        <w:t>ALVAREZ</w:t>
      </w:r>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9F6FD8">
        <w:rPr>
          <w:rFonts w:ascii="Times New Roman" w:eastAsia="Times New Roman" w:hAnsi="Times New Roman" w:cs="Times New Roman"/>
          <w:b/>
          <w:lang w:val="es-PA" w:eastAsia="zh-CN" w:bidi="ar"/>
        </w:rPr>
        <w:t>primera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B807A8" w:rsidRPr="00B807A8">
        <w:rPr>
          <w:rFonts w:ascii="Times New Roman" w:eastAsia="Times New Roman" w:hAnsi="Times New Roman" w:cs="Times New Roman"/>
          <w:b/>
          <w:lang w:val="es-ES" w:eastAsia="es-ES"/>
        </w:rPr>
        <w:t>URBANIZACIÓN VILLA VERDE</w:t>
      </w:r>
      <w:r w:rsidRPr="00325AE5">
        <w:rPr>
          <w:rFonts w:ascii="Times New Roman" w:eastAsia="Times New Roman" w:hAnsi="Times New Roman" w:cs="Times New Roman"/>
          <w:lang w:val="es-PA" w:eastAsia="zh-CN" w:bidi="ar"/>
        </w:rPr>
        <w:t xml:space="preserve">”, a desarrollarse en el corregimiento de </w:t>
      </w:r>
      <w:r w:rsidR="00B807A8">
        <w:rPr>
          <w:rFonts w:ascii="Times New Roman" w:eastAsia="Times New Roman" w:hAnsi="Times New Roman" w:cs="Times New Roman"/>
          <w:lang w:val="es-PA" w:eastAsia="zh-CN" w:bidi="ar"/>
        </w:rPr>
        <w:t>Los Algarrobos</w:t>
      </w:r>
      <w:r w:rsidRPr="00325AE5">
        <w:rPr>
          <w:rFonts w:ascii="Times New Roman" w:eastAsia="Times New Roman" w:hAnsi="Times New Roman" w:cs="Times New Roman"/>
          <w:lang w:val="es-PA" w:eastAsia="zh-CN" w:bidi="ar"/>
        </w:rPr>
        <w:t xml:space="preserve">, Distrito de </w:t>
      </w:r>
      <w:r w:rsidR="00B807A8">
        <w:rPr>
          <w:rFonts w:ascii="Times New Roman" w:eastAsia="Times New Roman" w:hAnsi="Times New Roman" w:cs="Times New Roman"/>
          <w:lang w:val="es-PA" w:eastAsia="zh-CN" w:bidi="ar"/>
        </w:rPr>
        <w:t>Dolega</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CB750B" w:rsidRPr="00CB750B" w:rsidRDefault="00CB750B" w:rsidP="00CB750B">
      <w:pPr>
        <w:numPr>
          <w:ilvl w:val="0"/>
          <w:numId w:val="1"/>
        </w:numPr>
        <w:spacing w:line="276" w:lineRule="auto"/>
        <w:contextualSpacing/>
        <w:jc w:val="both"/>
        <w:rPr>
          <w:rFonts w:ascii="Times New Roman" w:eastAsia="Times New Roman" w:hAnsi="Times New Roman" w:cs="Times New Roman"/>
          <w:b/>
          <w:lang w:val="es-ES" w:eastAsia="es-ES"/>
        </w:rPr>
      </w:pPr>
      <w:r w:rsidRPr="00CB750B">
        <w:rPr>
          <w:rFonts w:ascii="Times New Roman" w:eastAsia="Times New Roman" w:hAnsi="Times New Roman" w:cs="Times New Roman"/>
          <w:lang w:val="es-PA" w:eastAsia="es-ES"/>
        </w:rPr>
        <w:t>En la página 3</w:t>
      </w:r>
      <w:r w:rsidR="00B2775D">
        <w:rPr>
          <w:rFonts w:ascii="Times New Roman" w:eastAsia="Times New Roman" w:hAnsi="Times New Roman" w:cs="Times New Roman"/>
          <w:lang w:val="es-PA" w:eastAsia="es-ES"/>
        </w:rPr>
        <w:t>1</w:t>
      </w:r>
      <w:r w:rsidRPr="00CB750B">
        <w:rPr>
          <w:rFonts w:ascii="Times New Roman" w:eastAsia="Times New Roman" w:hAnsi="Times New Roman" w:cs="Times New Roman"/>
          <w:lang w:val="es-PA" w:eastAsia="es-ES"/>
        </w:rPr>
        <w:t xml:space="preserve"> del EsIA presentado, en el punto </w:t>
      </w:r>
      <w:r w:rsidRPr="00CB750B">
        <w:rPr>
          <w:rFonts w:ascii="Times New Roman" w:eastAsia="Times New Roman" w:hAnsi="Times New Roman" w:cs="Times New Roman"/>
          <w:b/>
          <w:lang w:val="es-PA" w:eastAsia="es-ES"/>
        </w:rPr>
        <w:t xml:space="preserve">6.2 Topografía, </w:t>
      </w:r>
      <w:r w:rsidRPr="00CB750B">
        <w:rPr>
          <w:rFonts w:ascii="Times New Roman" w:eastAsia="Times New Roman" w:hAnsi="Times New Roman" w:cs="Times New Roman"/>
          <w:lang w:val="es-PA" w:eastAsia="es-ES"/>
        </w:rPr>
        <w:t xml:space="preserve">se describe lo siguiente: </w:t>
      </w:r>
      <w:r w:rsidRPr="00CB750B">
        <w:rPr>
          <w:rFonts w:ascii="Times New Roman" w:eastAsia="Times New Roman" w:hAnsi="Times New Roman" w:cs="Times New Roman"/>
          <w:i/>
          <w:lang w:val="es-PA" w:eastAsia="es-ES"/>
        </w:rPr>
        <w:t>“</w:t>
      </w:r>
      <w:r w:rsidR="00B2775D">
        <w:rPr>
          <w:rFonts w:ascii="Times New Roman" w:eastAsia="Times New Roman" w:hAnsi="Times New Roman" w:cs="Times New Roman"/>
          <w:i/>
          <w:lang w:val="es-PA" w:eastAsia="es-ES"/>
        </w:rPr>
        <w:t>el lote tiene una forma irregular con una topografía con pendientes poco pronunciadas</w:t>
      </w:r>
      <w:r w:rsidRPr="00CB750B">
        <w:rPr>
          <w:rFonts w:ascii="Times New Roman" w:eastAsia="Times New Roman" w:hAnsi="Times New Roman" w:cs="Times New Roman"/>
          <w:i/>
          <w:lang w:val="es-PA" w:eastAsia="es-ES"/>
        </w:rPr>
        <w:t>”</w:t>
      </w:r>
      <w:r w:rsidRPr="00CB750B">
        <w:rPr>
          <w:rFonts w:ascii="Times New Roman" w:eastAsia="Times New Roman" w:hAnsi="Times New Roman" w:cs="Times New Roman"/>
          <w:lang w:val="es-PA" w:eastAsia="es-ES"/>
        </w:rPr>
        <w:t xml:space="preserve"> y luego de la inspección realizada el día 17 de julio de 2019, al sitio donde se pretende desarrollar el proyecto, se observó que el terreno en mención tiene topografía irregular. Por lo tanto se le solicita lo siguiente: </w:t>
      </w:r>
    </w:p>
    <w:p w:rsidR="00CB750B" w:rsidRPr="00CB750B" w:rsidRDefault="00CB750B" w:rsidP="00CB750B">
      <w:pPr>
        <w:numPr>
          <w:ilvl w:val="0"/>
          <w:numId w:val="3"/>
        </w:numPr>
        <w:spacing w:line="276" w:lineRule="auto"/>
        <w:contextualSpacing/>
        <w:jc w:val="both"/>
        <w:rPr>
          <w:rFonts w:ascii="Times New Roman" w:eastAsia="Times New Roman" w:hAnsi="Times New Roman" w:cs="Times New Roman"/>
          <w:b/>
          <w:lang w:val="es-ES" w:eastAsia="es-ES"/>
        </w:rPr>
      </w:pPr>
      <w:r w:rsidRPr="00CB750B">
        <w:rPr>
          <w:rFonts w:ascii="Times New Roman" w:eastAsia="Times New Roman" w:hAnsi="Times New Roman" w:cs="Times New Roman"/>
          <w:b/>
          <w:lang w:val="es-ES" w:eastAsia="es-ES"/>
        </w:rPr>
        <w:t xml:space="preserve">Ampliar, </w:t>
      </w:r>
      <w:r w:rsidRPr="00CB750B">
        <w:rPr>
          <w:rFonts w:ascii="Times New Roman" w:eastAsia="Times New Roman" w:hAnsi="Times New Roman" w:cs="Times New Roman"/>
          <w:lang w:val="es-ES" w:eastAsia="es-ES"/>
        </w:rPr>
        <w:t>si se llevaran a cabo trabajos de nivelación y/ o relleno del terreno.</w:t>
      </w:r>
    </w:p>
    <w:p w:rsidR="008E7500" w:rsidRDefault="00CB750B" w:rsidP="00E33F17">
      <w:pPr>
        <w:numPr>
          <w:ilvl w:val="0"/>
          <w:numId w:val="3"/>
        </w:numPr>
        <w:spacing w:line="276" w:lineRule="auto"/>
        <w:contextualSpacing/>
        <w:jc w:val="both"/>
        <w:rPr>
          <w:rFonts w:ascii="Times New Roman" w:eastAsia="Times New Roman" w:hAnsi="Times New Roman" w:cs="Times New Roman"/>
          <w:b/>
          <w:lang w:val="es-ES" w:eastAsia="es-ES"/>
        </w:rPr>
      </w:pPr>
      <w:r w:rsidRPr="00CB750B">
        <w:rPr>
          <w:rFonts w:ascii="Times New Roman" w:eastAsia="Times New Roman" w:hAnsi="Times New Roman" w:cs="Times New Roman"/>
          <w:b/>
          <w:lang w:val="es-ES" w:eastAsia="es-ES"/>
        </w:rPr>
        <w:t xml:space="preserve">Indicar y Georreferenciar, </w:t>
      </w:r>
      <w:r w:rsidRPr="00CB750B">
        <w:rPr>
          <w:rFonts w:ascii="Times New Roman" w:eastAsia="Times New Roman" w:hAnsi="Times New Roman" w:cs="Times New Roman"/>
          <w:lang w:val="es-ES" w:eastAsia="es-ES"/>
        </w:rPr>
        <w:t xml:space="preserve">si se contara con sitios de disposición de material edáfico (botaderos) producto de los trabajos que se realizaran en el proyecto. </w:t>
      </w:r>
    </w:p>
    <w:p w:rsidR="00E33F17" w:rsidRPr="00E33F17" w:rsidRDefault="00E33F17" w:rsidP="00E33F17">
      <w:pPr>
        <w:spacing w:line="276" w:lineRule="auto"/>
        <w:ind w:left="1080"/>
        <w:contextualSpacing/>
        <w:jc w:val="both"/>
        <w:rPr>
          <w:rFonts w:ascii="Times New Roman" w:eastAsia="Times New Roman" w:hAnsi="Times New Roman" w:cs="Times New Roman"/>
          <w:b/>
          <w:lang w:val="es-ES" w:eastAsia="es-ES"/>
        </w:rPr>
      </w:pPr>
    </w:p>
    <w:p w:rsidR="008E7500" w:rsidRPr="008E7500" w:rsidRDefault="008E7500" w:rsidP="008E7500">
      <w:pPr>
        <w:pStyle w:val="Prrafodelista"/>
        <w:numPr>
          <w:ilvl w:val="0"/>
          <w:numId w:val="1"/>
        </w:num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t>En la página 141 del EsIA presentado, en el área de las Conclusiones del Estudio Hidrológico, se hace referencia a lo siguiente: “</w:t>
      </w:r>
      <w:r>
        <w:rPr>
          <w:rFonts w:ascii="Times New Roman" w:eastAsia="Times New Roman" w:hAnsi="Times New Roman" w:cs="Times New Roman"/>
          <w:i/>
          <w:lang w:val="es-ES" w:eastAsia="es-ES"/>
        </w:rPr>
        <w:t xml:space="preserve">…se recomienda la construcción de un muro de un zampeado de concreto armado según el detalle típico establecido por el MOP…”. </w:t>
      </w:r>
      <w:r>
        <w:rPr>
          <w:rFonts w:ascii="Times New Roman" w:eastAsia="Times New Roman" w:hAnsi="Times New Roman" w:cs="Times New Roman"/>
          <w:lang w:val="es-ES" w:eastAsia="es-ES"/>
        </w:rPr>
        <w:t>Tomando en consideración este aspecto se le solicita lo siguiente:</w:t>
      </w:r>
    </w:p>
    <w:p w:rsidR="008E7500" w:rsidRPr="008E7500" w:rsidRDefault="008E7500" w:rsidP="008E7500">
      <w:pPr>
        <w:pStyle w:val="Prrafodelista"/>
        <w:numPr>
          <w:ilvl w:val="1"/>
          <w:numId w:val="1"/>
        </w:numPr>
        <w:spacing w:line="276" w:lineRule="auto"/>
        <w:jc w:val="both"/>
        <w:rPr>
          <w:rFonts w:ascii="Times New Roman" w:eastAsia="Times New Roman" w:hAnsi="Times New Roman" w:cs="Times New Roman"/>
          <w:b/>
          <w:lang w:val="es-ES" w:eastAsia="es-ES"/>
        </w:rPr>
      </w:pPr>
      <w:r w:rsidRPr="008E7500">
        <w:rPr>
          <w:rFonts w:ascii="Times New Roman" w:eastAsia="Times New Roman" w:hAnsi="Times New Roman" w:cs="Times New Roman"/>
          <w:b/>
          <w:lang w:val="es-ES" w:eastAsia="es-ES"/>
        </w:rPr>
        <w:t>Indicar,</w:t>
      </w:r>
      <w:r>
        <w:rPr>
          <w:rFonts w:ascii="Times New Roman" w:eastAsia="Times New Roman" w:hAnsi="Times New Roman" w:cs="Times New Roman"/>
          <w:lang w:val="es-ES" w:eastAsia="es-ES"/>
        </w:rPr>
        <w:t xml:space="preserve"> si se llevara a cabo dicha </w:t>
      </w:r>
      <w:r w:rsidRPr="008E7500">
        <w:rPr>
          <w:rFonts w:ascii="Times New Roman" w:eastAsia="Times New Roman" w:hAnsi="Times New Roman" w:cs="Times New Roman"/>
          <w:lang w:val="es-ES" w:eastAsia="es-ES"/>
        </w:rPr>
        <w:t>construcción de un muro de un zampeado de concreto armado</w:t>
      </w:r>
      <w:r>
        <w:rPr>
          <w:rFonts w:ascii="Times New Roman" w:eastAsia="Times New Roman" w:hAnsi="Times New Roman" w:cs="Times New Roman"/>
          <w:lang w:val="es-ES" w:eastAsia="es-ES"/>
        </w:rPr>
        <w:t xml:space="preserve"> y a su vez </w:t>
      </w:r>
      <w:r>
        <w:rPr>
          <w:rFonts w:ascii="Times New Roman" w:eastAsia="Times New Roman" w:hAnsi="Times New Roman" w:cs="Times New Roman"/>
          <w:b/>
          <w:lang w:val="es-ES" w:eastAsia="es-ES"/>
        </w:rPr>
        <w:t>indicar</w:t>
      </w:r>
      <w:r>
        <w:rPr>
          <w:rFonts w:ascii="Times New Roman" w:eastAsia="Times New Roman" w:hAnsi="Times New Roman" w:cs="Times New Roman"/>
          <w:lang w:val="es-ES" w:eastAsia="es-ES"/>
        </w:rPr>
        <w:t xml:space="preserve">, si la fuente hídrica se verá afectada por dichos trabajos, </w:t>
      </w:r>
    </w:p>
    <w:p w:rsidR="00325AE5" w:rsidRPr="00E33F17" w:rsidRDefault="008E7500" w:rsidP="00325AE5">
      <w:pPr>
        <w:pStyle w:val="Prrafodelista"/>
        <w:numPr>
          <w:ilvl w:val="1"/>
          <w:numId w:val="1"/>
        </w:num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Georreferenciar, </w:t>
      </w:r>
      <w:r>
        <w:rPr>
          <w:rFonts w:ascii="Times New Roman" w:eastAsia="Times New Roman" w:hAnsi="Times New Roman" w:cs="Times New Roman"/>
          <w:lang w:val="es-ES" w:eastAsia="es-ES"/>
        </w:rPr>
        <w:t>las áreas donde se llevaran a cabo dichos trabajos.</w:t>
      </w: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B2775D" w:rsidP="00325AE5">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B2775D"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w:t>
      </w:r>
      <w:r w:rsidR="00B2775D">
        <w:rPr>
          <w:rFonts w:ascii="Times New Roman" w:eastAsia="Times New Roman" w:hAnsi="Times New Roman" w:cs="Times New Roman"/>
          <w:color w:val="000000"/>
          <w:spacing w:val="-3"/>
          <w:lang w:val="es-ES_tradnl" w:eastAsia="es-ES"/>
        </w:rPr>
        <w:t>a</w:t>
      </w:r>
      <w:r w:rsidRPr="00325AE5">
        <w:rPr>
          <w:rFonts w:ascii="Times New Roman" w:eastAsia="Times New Roman" w:hAnsi="Times New Roman" w:cs="Times New Roman"/>
          <w:color w:val="000000"/>
          <w:spacing w:val="-3"/>
          <w:lang w:val="es-ES_tradnl" w:eastAsia="es-ES"/>
        </w:rPr>
        <w:t xml:space="preserve"> Regional </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E33F17" w:rsidRDefault="00B2775D" w:rsidP="00E33F17">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00325AE5" w:rsidRPr="00325AE5">
        <w:rPr>
          <w:rFonts w:ascii="Times New Roman" w:eastAsia="Times New Roman" w:hAnsi="Times New Roman" w:cs="Times New Roman"/>
          <w:b/>
          <w:i/>
          <w:color w:val="000000"/>
          <w:sz w:val="16"/>
          <w:szCs w:val="16"/>
          <w:lang w:val="es-ES" w:eastAsia="es-ES"/>
        </w:rPr>
        <w:t>/NR/</w:t>
      </w:r>
      <w:proofErr w:type="spellStart"/>
      <w:r w:rsidR="00325AE5" w:rsidRPr="00325AE5">
        <w:rPr>
          <w:rFonts w:ascii="Cambria" w:eastAsia="Times New Roman" w:hAnsi="Cambria" w:cs="Times New Roman"/>
          <w:b/>
          <w:i/>
          <w:color w:val="000000"/>
          <w:sz w:val="16"/>
          <w:szCs w:val="16"/>
          <w:lang w:val="es-ES" w:eastAsia="es-ES"/>
        </w:rPr>
        <w:t>tg</w:t>
      </w:r>
      <w:bookmarkStart w:id="0" w:name="_GoBack"/>
      <w:bookmarkEnd w:id="0"/>
      <w:proofErr w:type="spellEnd"/>
    </w:p>
    <w:sectPr w:rsidR="00325AE5" w:rsidRPr="00E33F17" w:rsidSect="00F812B7">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0AE" w:rsidRDefault="00E770AE" w:rsidP="002D333D">
      <w:r>
        <w:separator/>
      </w:r>
    </w:p>
  </w:endnote>
  <w:endnote w:type="continuationSeparator" w:id="0">
    <w:p w:rsidR="00E770AE" w:rsidRDefault="00E770A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17" w:rsidRPr="000C6F89" w:rsidRDefault="00E33F17" w:rsidP="00E33F17">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 xml:space="preserve">David, Vía Red Gray </w:t>
    </w:r>
  </w:p>
  <w:p w:rsidR="00E33F17" w:rsidRDefault="00E33F17" w:rsidP="00E33F17">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Provincia de Chiriquí</w:t>
    </w:r>
  </w:p>
  <w:p w:rsidR="00E33F17" w:rsidRPr="000C6F89" w:rsidRDefault="00E33F17" w:rsidP="00E33F17">
    <w:pPr>
      <w:jc w:val="right"/>
      <w:rPr>
        <w:rFonts w:ascii="Century Gothic" w:hAnsi="Century Gothic"/>
        <w:color w:val="3B3838" w:themeColor="background2" w:themeShade="40"/>
        <w:sz w:val="20"/>
        <w:szCs w:val="20"/>
      </w:rPr>
    </w:pPr>
    <w:r>
      <w:rPr>
        <w:rFonts w:ascii="Century Gothic" w:hAnsi="Century Gothic"/>
        <w:color w:val="3B3838" w:themeColor="background2" w:themeShade="40"/>
        <w:sz w:val="20"/>
        <w:szCs w:val="20"/>
      </w:rPr>
      <w:t>Tel.: (507) 500-0922</w:t>
    </w:r>
  </w:p>
  <w:p w:rsidR="00E33F17" w:rsidRDefault="00E33F17">
    <w:pPr>
      <w:pStyle w:val="Piedepgina"/>
    </w:pPr>
    <w:r w:rsidRPr="00237189">
      <w:rPr>
        <w:noProof/>
        <w:lang w:eastAsia="es-PA"/>
      </w:rPr>
      <w:drawing>
        <wp:anchor distT="0" distB="0" distL="114300" distR="114300" simplePos="0" relativeHeight="251664384" behindDoc="1" locked="0" layoutInCell="1" allowOverlap="1" wp14:anchorId="478E67B4" wp14:editId="3D2D5070">
          <wp:simplePos x="0" y="0"/>
          <wp:positionH relativeFrom="column">
            <wp:posOffset>-1066280</wp:posOffset>
          </wp:positionH>
          <wp:positionV relativeFrom="paragraph">
            <wp:posOffset>-125442</wp:posOffset>
          </wp:positionV>
          <wp:extent cx="7776376" cy="796806"/>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776376" cy="7968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0AE" w:rsidRDefault="00E770AE" w:rsidP="002D333D">
      <w:r>
        <w:separator/>
      </w:r>
    </w:p>
  </w:footnote>
  <w:footnote w:type="continuationSeparator" w:id="0">
    <w:p w:rsidR="00E770AE" w:rsidRDefault="00E770A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32F09CE8" wp14:editId="53C05223">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E6E59"/>
    <w:rsid w:val="001D4E3D"/>
    <w:rsid w:val="00254FAA"/>
    <w:rsid w:val="0027662B"/>
    <w:rsid w:val="002D333D"/>
    <w:rsid w:val="0032275F"/>
    <w:rsid w:val="00325AE5"/>
    <w:rsid w:val="00397ABD"/>
    <w:rsid w:val="00431E17"/>
    <w:rsid w:val="004B31C8"/>
    <w:rsid w:val="00533D36"/>
    <w:rsid w:val="00553336"/>
    <w:rsid w:val="005D1893"/>
    <w:rsid w:val="005E30A5"/>
    <w:rsid w:val="00612D9E"/>
    <w:rsid w:val="006F1E76"/>
    <w:rsid w:val="007047D4"/>
    <w:rsid w:val="00713E0A"/>
    <w:rsid w:val="0081431C"/>
    <w:rsid w:val="008E7500"/>
    <w:rsid w:val="009874D2"/>
    <w:rsid w:val="009F6FD8"/>
    <w:rsid w:val="00A239C9"/>
    <w:rsid w:val="00AD221F"/>
    <w:rsid w:val="00B25B9A"/>
    <w:rsid w:val="00B2775D"/>
    <w:rsid w:val="00B807A8"/>
    <w:rsid w:val="00B947DE"/>
    <w:rsid w:val="00BF7EE5"/>
    <w:rsid w:val="00C673E3"/>
    <w:rsid w:val="00C948BD"/>
    <w:rsid w:val="00CB750B"/>
    <w:rsid w:val="00CF2884"/>
    <w:rsid w:val="00D81B23"/>
    <w:rsid w:val="00E33F17"/>
    <w:rsid w:val="00E770AE"/>
    <w:rsid w:val="00E9559A"/>
    <w:rsid w:val="00F81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0E9A-469C-45B4-B11E-CF8281EC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9</cp:revision>
  <dcterms:created xsi:type="dcterms:W3CDTF">2019-08-01T16:32:00Z</dcterms:created>
  <dcterms:modified xsi:type="dcterms:W3CDTF">2019-10-04T20:37:00Z</dcterms:modified>
</cp:coreProperties>
</file>