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PROYECTO: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“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s-PA" w:eastAsia="es-PA"/>
        </w:rPr>
        <w:t>DISEÑO Y CONSTRUCCIÓN DE ESTRIBOS E INSTALACIÓN DE PUENTES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n-US" w:eastAsia="es-P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s-PA" w:eastAsia="es-PA"/>
        </w:rPr>
        <w:t>MODULARES, PROVINCIA DE COCLÉ, HERRERA Y LOS SANTOS (GRUPO II)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n-US" w:eastAsia="es-PA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s-PA" w:eastAsia="es-PA"/>
        </w:rPr>
        <w:t xml:space="preserve">RENGLÓN N° 2: RIO 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u w:val="single"/>
          <w:lang w:val="en-US" w:eastAsia="es-PA"/>
        </w:rPr>
        <w:t>CHIGUIRI - CHIGUIRI ARRIBA - COCLÉ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>”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>MINISTERIO DE OBRAS PUBLICAS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F-39-2019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9 DE OCTUBRE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hint="default" w:ascii="Times New Roman" w:hAnsi="Times New Roman" w:cs="Times New Roman"/>
          <w:sz w:val="24"/>
          <w:szCs w:val="24"/>
          <w:lang w:val="es-PA" w:eastAsia="es-PA"/>
        </w:rPr>
        <w:t xml:space="preserve">OTILIA SÁNCHEZ 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>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IAR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s-PA"/>
        </w:rPr>
        <w:t>-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035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es-PA"/>
        </w:rPr>
        <w:t>-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2000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s-PA" w:eastAsia="es-PA"/>
        </w:rPr>
        <w:t>, LORENA VEGA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 xml:space="preserve">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IRC-013-2007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es-PA" w:eastAsia="es-PA"/>
        </w:rPr>
        <w:t xml:space="preserve"> Y JOSÉ PABLO CASTILLO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 xml:space="preserve"> (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IRC-020-2004</w:t>
      </w:r>
      <w:r>
        <w:rPr>
          <w:rFonts w:hint="default" w:ascii="Times New Roman" w:hAnsi="Times New Roman" w:cs="Times New Roman"/>
          <w:sz w:val="24"/>
          <w:szCs w:val="24"/>
          <w:lang w:val="en-US" w:eastAsia="es-PA"/>
        </w:rPr>
        <w:t>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LÓPEZ NAME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ECONÓMICAMENTE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es-PA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es-PA"/>
              </w:rPr>
            </w:pPr>
            <w:r>
              <w:rPr>
                <w:rFonts w:hint="default" w:ascii="Times New Roman" w:hAnsi="Times New Roman" w:cs="Times New Roman"/>
                <w:lang w:val="es-PA"/>
              </w:rPr>
              <w:t>--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11E42671"/>
    <w:rsid w:val="171C68BA"/>
    <w:rsid w:val="3A744AA0"/>
    <w:rsid w:val="3AB61EE7"/>
    <w:rsid w:val="42CA6059"/>
    <w:rsid w:val="46A4379A"/>
    <w:rsid w:val="49C167AF"/>
    <w:rsid w:val="5E0812BA"/>
    <w:rsid w:val="655224DC"/>
    <w:rsid w:val="68475245"/>
    <w:rsid w:val="689E6A3F"/>
    <w:rsid w:val="6AB2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qFormat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</TotalTime>
  <ScaleCrop>false</ScaleCrop>
  <LinksUpToDate>false</LinksUpToDate>
  <CharactersWithSpaces>4670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2019-10-11T15:13:05Z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2058-11.2.0.8970</vt:lpwstr>
  </property>
</Properties>
</file>