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5C" w:rsidRPr="00E245BA" w:rsidRDefault="007C6D53" w:rsidP="00E245BA">
      <w:pPr>
        <w:spacing w:line="276" w:lineRule="auto"/>
        <w:jc w:val="center"/>
        <w:outlineLvl w:val="0"/>
        <w:rPr>
          <w:b/>
          <w:lang w:val="es-MX"/>
        </w:rPr>
      </w:pPr>
      <w:r w:rsidRPr="00E245BA">
        <w:rPr>
          <w:b/>
          <w:lang w:val="es-MX"/>
        </w:rPr>
        <w:t>MINISTERIO DE AMBIENTE</w:t>
      </w:r>
    </w:p>
    <w:p w:rsidR="0086245C" w:rsidRPr="00E245BA" w:rsidRDefault="007C6D53" w:rsidP="00E245BA">
      <w:pPr>
        <w:spacing w:line="276" w:lineRule="auto"/>
        <w:jc w:val="center"/>
        <w:rPr>
          <w:rFonts w:eastAsia="MS Mincho"/>
          <w:b/>
          <w:lang w:val="es-MX"/>
        </w:rPr>
      </w:pPr>
      <w:r w:rsidRPr="00E245BA">
        <w:rPr>
          <w:rFonts w:eastAsia="MS Mincho"/>
          <w:b/>
          <w:lang w:val="es-MX"/>
        </w:rPr>
        <w:t>DIRECCIÓN REGIONAL DE CHIRIQUÍ</w:t>
      </w:r>
    </w:p>
    <w:p w:rsidR="0086245C" w:rsidRPr="00E245BA" w:rsidRDefault="0066636C" w:rsidP="00E245BA">
      <w:pPr>
        <w:spacing w:line="276" w:lineRule="auto"/>
        <w:jc w:val="center"/>
        <w:rPr>
          <w:rFonts w:eastAsia="MS Mincho"/>
          <w:b/>
          <w:lang w:val="es-MX"/>
        </w:rPr>
      </w:pPr>
      <w:r>
        <w:rPr>
          <w:rFonts w:eastAsia="MS Mincho"/>
          <w:b/>
          <w:lang w:val="es-MX"/>
        </w:rPr>
        <w:t xml:space="preserve">SECCIÓN </w:t>
      </w:r>
      <w:r w:rsidR="007C6D53" w:rsidRPr="00E245BA">
        <w:rPr>
          <w:rFonts w:eastAsia="MS Mincho"/>
          <w:b/>
          <w:lang w:val="es-MX"/>
        </w:rPr>
        <w:t>DE EVALUACIÓN DE IMPACTO AMBIENTAL</w:t>
      </w:r>
    </w:p>
    <w:p w:rsidR="0086245C" w:rsidRPr="00E245BA" w:rsidRDefault="007C6D53" w:rsidP="00E245BA">
      <w:pPr>
        <w:spacing w:line="276" w:lineRule="auto"/>
        <w:jc w:val="center"/>
        <w:rPr>
          <w:rFonts w:eastAsia="MS Mincho"/>
          <w:b/>
          <w:lang w:val="es-MX"/>
        </w:rPr>
      </w:pPr>
      <w:r w:rsidRPr="00E245BA">
        <w:rPr>
          <w:rFonts w:eastAsia="MS Mincho"/>
          <w:b/>
          <w:lang w:val="es-MX"/>
        </w:rPr>
        <w:t xml:space="preserve">INFORME TÉCNICO DE </w:t>
      </w:r>
      <w:r w:rsidRPr="00E245BA">
        <w:rPr>
          <w:rFonts w:eastAsia="MS Mincho"/>
          <w:b/>
        </w:rPr>
        <w:t>EVALUACIÓN</w:t>
      </w:r>
      <w:r w:rsidRPr="00E245BA">
        <w:rPr>
          <w:rFonts w:eastAsia="MS Mincho"/>
          <w:b/>
          <w:lang w:val="es-MX"/>
        </w:rPr>
        <w:t xml:space="preserve"> DE ESTUDIO DE IMPACTO AMBIENTAL</w:t>
      </w:r>
    </w:p>
    <w:p w:rsidR="0086245C" w:rsidRPr="00E245BA" w:rsidRDefault="007C6D53" w:rsidP="00E245BA">
      <w:pPr>
        <w:spacing w:line="276" w:lineRule="auto"/>
        <w:jc w:val="center"/>
        <w:rPr>
          <w:rFonts w:eastAsia="MS Mincho"/>
          <w:b/>
          <w:lang w:val="es-MX"/>
        </w:rPr>
      </w:pPr>
      <w:r w:rsidRPr="00E245BA">
        <w:rPr>
          <w:rFonts w:eastAsia="MS Mincho"/>
          <w:b/>
          <w:lang w:val="es-MX"/>
        </w:rPr>
        <w:t xml:space="preserve">No. </w:t>
      </w:r>
      <w:r w:rsidR="00377DAE">
        <w:rPr>
          <w:rFonts w:eastAsia="MS Mincho"/>
          <w:b/>
          <w:lang w:val="es-MX"/>
        </w:rPr>
        <w:t>62</w:t>
      </w:r>
      <w:r w:rsidR="00C9470E">
        <w:rPr>
          <w:rFonts w:eastAsia="MS Mincho"/>
          <w:b/>
          <w:lang w:val="es-MX"/>
        </w:rPr>
        <w:t>-</w:t>
      </w:r>
      <w:r w:rsidR="003C695F">
        <w:rPr>
          <w:rFonts w:eastAsia="MS Mincho"/>
          <w:b/>
          <w:lang w:val="es-MX"/>
        </w:rPr>
        <w:t>20</w:t>
      </w:r>
      <w:r w:rsidR="00C9470E">
        <w:rPr>
          <w:rFonts w:eastAsia="MS Mincho"/>
          <w:b/>
          <w:lang w:val="es-MX"/>
        </w:rPr>
        <w:t>19</w:t>
      </w:r>
    </w:p>
    <w:p w:rsidR="0086245C" w:rsidRPr="00E245BA" w:rsidRDefault="0086245C" w:rsidP="00E245BA">
      <w:pPr>
        <w:spacing w:after="240" w:line="276" w:lineRule="auto"/>
        <w:jc w:val="both"/>
        <w:rPr>
          <w:rFonts w:eastAsia="MS Mincho"/>
          <w:b/>
          <w:lang w:val="es-MX"/>
        </w:rPr>
      </w:pPr>
    </w:p>
    <w:p w:rsidR="00B104EF" w:rsidRPr="00E245BA" w:rsidRDefault="007C6D53" w:rsidP="00E245BA">
      <w:pPr>
        <w:numPr>
          <w:ilvl w:val="0"/>
          <w:numId w:val="1"/>
        </w:numPr>
        <w:tabs>
          <w:tab w:val="left" w:pos="-1890"/>
        </w:tabs>
        <w:autoSpaceDE w:val="0"/>
        <w:autoSpaceDN w:val="0"/>
        <w:adjustRightInd w:val="0"/>
        <w:spacing w:after="240" w:line="276" w:lineRule="auto"/>
        <w:ind w:left="360"/>
        <w:jc w:val="both"/>
        <w:rPr>
          <w:b/>
          <w:lang w:val="es-MX"/>
        </w:rPr>
      </w:pPr>
      <w:r w:rsidRPr="00E245BA">
        <w:rPr>
          <w:b/>
          <w:lang w:val="es-MX"/>
        </w:rPr>
        <w:t>DATOS GENERALES</w:t>
      </w:r>
    </w:p>
    <w:tbl>
      <w:tblPr>
        <w:tblW w:w="9018" w:type="dxa"/>
        <w:jc w:val="center"/>
        <w:tblLayout w:type="fixed"/>
        <w:tblLook w:val="04A0" w:firstRow="1" w:lastRow="0" w:firstColumn="1" w:lastColumn="0" w:noHBand="0" w:noVBand="1"/>
      </w:tblPr>
      <w:tblGrid>
        <w:gridCol w:w="3618"/>
        <w:gridCol w:w="5400"/>
      </w:tblGrid>
      <w:tr w:rsidR="0086245C" w:rsidRPr="00E245BA">
        <w:trPr>
          <w:jc w:val="center"/>
        </w:trPr>
        <w:tc>
          <w:tcPr>
            <w:tcW w:w="3618" w:type="dxa"/>
            <w:shd w:val="clear" w:color="auto" w:fill="auto"/>
          </w:tcPr>
          <w:p w:rsidR="0086245C" w:rsidRPr="00E245BA" w:rsidRDefault="007C6D53" w:rsidP="00E245BA">
            <w:pPr>
              <w:ind w:right="162"/>
              <w:jc w:val="both"/>
              <w:rPr>
                <w:b/>
                <w:lang w:val="es-MX"/>
              </w:rPr>
            </w:pPr>
            <w:r w:rsidRPr="00E245BA">
              <w:rPr>
                <w:b/>
                <w:lang w:val="es-MX"/>
              </w:rPr>
              <w:t>FECHA:</w:t>
            </w:r>
          </w:p>
        </w:tc>
        <w:tc>
          <w:tcPr>
            <w:tcW w:w="5400" w:type="dxa"/>
            <w:shd w:val="clear" w:color="auto" w:fill="auto"/>
          </w:tcPr>
          <w:p w:rsidR="0086245C" w:rsidRDefault="008146A8" w:rsidP="00E245BA">
            <w:pPr>
              <w:jc w:val="both"/>
              <w:rPr>
                <w:color w:val="000000"/>
                <w:spacing w:val="-3"/>
              </w:rPr>
            </w:pPr>
            <w:r>
              <w:rPr>
                <w:color w:val="000000"/>
                <w:spacing w:val="-3"/>
              </w:rPr>
              <w:t>17 DE OCTUBRE</w:t>
            </w:r>
            <w:r w:rsidR="00E6315F">
              <w:rPr>
                <w:color w:val="000000"/>
                <w:spacing w:val="-3"/>
              </w:rPr>
              <w:t xml:space="preserve"> DE 2019</w:t>
            </w:r>
          </w:p>
          <w:p w:rsidR="0066636C" w:rsidRPr="00E245BA" w:rsidRDefault="0066636C" w:rsidP="00E245BA">
            <w:pPr>
              <w:jc w:val="both"/>
              <w:rPr>
                <w:b/>
                <w:lang w:val="es-MX"/>
              </w:rPr>
            </w:pPr>
          </w:p>
        </w:tc>
      </w:tr>
      <w:tr w:rsidR="0086245C" w:rsidRPr="00E245BA">
        <w:trPr>
          <w:trHeight w:val="371"/>
          <w:jc w:val="center"/>
        </w:trPr>
        <w:tc>
          <w:tcPr>
            <w:tcW w:w="3618" w:type="dxa"/>
            <w:shd w:val="clear" w:color="auto" w:fill="auto"/>
          </w:tcPr>
          <w:p w:rsidR="0086245C" w:rsidRPr="00E245BA" w:rsidRDefault="007C6D53" w:rsidP="00E245BA">
            <w:pPr>
              <w:jc w:val="both"/>
              <w:rPr>
                <w:b/>
                <w:lang w:val="es-MX"/>
              </w:rPr>
            </w:pPr>
            <w:r w:rsidRPr="00E245BA">
              <w:rPr>
                <w:b/>
                <w:lang w:val="es-MX"/>
              </w:rPr>
              <w:t>NOMBRE DEL PROYECTO:</w:t>
            </w:r>
          </w:p>
        </w:tc>
        <w:tc>
          <w:tcPr>
            <w:tcW w:w="5400" w:type="dxa"/>
            <w:shd w:val="clear" w:color="auto" w:fill="auto"/>
          </w:tcPr>
          <w:p w:rsidR="0066636C" w:rsidRDefault="00377DAE" w:rsidP="00E245BA">
            <w:pPr>
              <w:jc w:val="both"/>
            </w:pPr>
            <w:r w:rsidRPr="00377DAE">
              <w:t>URBANIZACIÓN VILLA VERDE</w:t>
            </w:r>
          </w:p>
          <w:p w:rsidR="00377DAE" w:rsidRPr="00E245BA" w:rsidRDefault="00377DAE" w:rsidP="00E245BA">
            <w:pPr>
              <w:jc w:val="both"/>
            </w:pPr>
          </w:p>
        </w:tc>
      </w:tr>
      <w:tr w:rsidR="0086245C" w:rsidRPr="00E245BA">
        <w:trPr>
          <w:trHeight w:val="432"/>
          <w:jc w:val="center"/>
        </w:trPr>
        <w:tc>
          <w:tcPr>
            <w:tcW w:w="3618" w:type="dxa"/>
            <w:shd w:val="clear" w:color="auto" w:fill="auto"/>
          </w:tcPr>
          <w:p w:rsidR="0086245C" w:rsidRPr="00E245BA" w:rsidRDefault="007C6D53" w:rsidP="00E245BA">
            <w:pPr>
              <w:jc w:val="both"/>
              <w:rPr>
                <w:lang w:val="es-MX"/>
              </w:rPr>
            </w:pPr>
            <w:r w:rsidRPr="00E245BA">
              <w:rPr>
                <w:b/>
              </w:rPr>
              <w:t>PROMOTOR:</w:t>
            </w:r>
            <w:r w:rsidRPr="00E245BA">
              <w:t xml:space="preserve">                              </w:t>
            </w:r>
          </w:p>
        </w:tc>
        <w:tc>
          <w:tcPr>
            <w:tcW w:w="5400" w:type="dxa"/>
            <w:shd w:val="clear" w:color="auto" w:fill="auto"/>
          </w:tcPr>
          <w:p w:rsidR="0066636C" w:rsidRPr="00E245BA" w:rsidRDefault="00377DAE" w:rsidP="00E245BA">
            <w:pPr>
              <w:jc w:val="both"/>
              <w:rPr>
                <w:color w:val="000000"/>
                <w:spacing w:val="-3"/>
              </w:rPr>
            </w:pPr>
            <w:r w:rsidRPr="00377DAE">
              <w:rPr>
                <w:spacing w:val="-3"/>
              </w:rPr>
              <w:t>CONSTRUCTORA BOLIVAR ALVAREZ, S.A.</w:t>
            </w:r>
          </w:p>
        </w:tc>
      </w:tr>
      <w:tr w:rsidR="0086245C" w:rsidRPr="00E245BA">
        <w:trPr>
          <w:jc w:val="center"/>
        </w:trPr>
        <w:tc>
          <w:tcPr>
            <w:tcW w:w="3618" w:type="dxa"/>
            <w:shd w:val="clear" w:color="auto" w:fill="auto"/>
          </w:tcPr>
          <w:p w:rsidR="0086245C" w:rsidRPr="00E245BA" w:rsidRDefault="00826E0F" w:rsidP="00E245BA">
            <w:pPr>
              <w:jc w:val="both"/>
              <w:rPr>
                <w:b/>
              </w:rPr>
            </w:pPr>
            <w:r>
              <w:rPr>
                <w:b/>
              </w:rPr>
              <w:t>REPRESENTANTE LEGAL</w:t>
            </w:r>
            <w:r w:rsidR="007C6D53" w:rsidRPr="00E245BA">
              <w:rPr>
                <w:b/>
              </w:rPr>
              <w:t>:</w:t>
            </w:r>
          </w:p>
        </w:tc>
        <w:tc>
          <w:tcPr>
            <w:tcW w:w="5400" w:type="dxa"/>
            <w:shd w:val="clear" w:color="auto" w:fill="auto"/>
          </w:tcPr>
          <w:p w:rsidR="00657B79" w:rsidRDefault="00377DAE" w:rsidP="00377DAE">
            <w:pPr>
              <w:jc w:val="both"/>
              <w:rPr>
                <w:spacing w:val="-3"/>
              </w:rPr>
            </w:pPr>
            <w:r>
              <w:rPr>
                <w:spacing w:val="-3"/>
              </w:rPr>
              <w:t xml:space="preserve">BOLIVAR </w:t>
            </w:r>
            <w:r w:rsidRPr="00377DAE">
              <w:rPr>
                <w:spacing w:val="-3"/>
              </w:rPr>
              <w:t>ALVAREZ</w:t>
            </w:r>
          </w:p>
          <w:p w:rsidR="00377DAE" w:rsidRPr="00377DAE" w:rsidRDefault="00377DAE" w:rsidP="00377DAE">
            <w:pPr>
              <w:jc w:val="both"/>
              <w:rPr>
                <w:spacing w:val="-3"/>
              </w:rPr>
            </w:pPr>
          </w:p>
        </w:tc>
      </w:tr>
      <w:tr w:rsidR="0086245C" w:rsidRPr="00E245BA">
        <w:trPr>
          <w:jc w:val="center"/>
        </w:trPr>
        <w:tc>
          <w:tcPr>
            <w:tcW w:w="3618" w:type="dxa"/>
            <w:shd w:val="clear" w:color="auto" w:fill="auto"/>
          </w:tcPr>
          <w:p w:rsidR="0086245C" w:rsidRPr="00E245BA" w:rsidRDefault="007C6D53" w:rsidP="00E245BA">
            <w:pPr>
              <w:jc w:val="both"/>
              <w:rPr>
                <w:b/>
              </w:rPr>
            </w:pPr>
            <w:r w:rsidRPr="00E245BA">
              <w:rPr>
                <w:b/>
              </w:rPr>
              <w:t>UBICACIÓN:</w:t>
            </w:r>
          </w:p>
        </w:tc>
        <w:tc>
          <w:tcPr>
            <w:tcW w:w="5400" w:type="dxa"/>
            <w:shd w:val="clear" w:color="auto" w:fill="auto"/>
          </w:tcPr>
          <w:p w:rsidR="0086245C" w:rsidRPr="00E245BA" w:rsidRDefault="007C6D53" w:rsidP="00377DAE">
            <w:pPr>
              <w:jc w:val="both"/>
              <w:rPr>
                <w:rFonts w:eastAsia="MS Mincho"/>
                <w:lang w:val="es-MX"/>
              </w:rPr>
            </w:pPr>
            <w:r w:rsidRPr="00E245BA">
              <w:rPr>
                <w:spacing w:val="-3"/>
              </w:rPr>
              <w:t xml:space="preserve">CORREGIMIENTO DE </w:t>
            </w:r>
            <w:r w:rsidR="00377DAE">
              <w:rPr>
                <w:spacing w:val="-3"/>
              </w:rPr>
              <w:t>LOS ALGARROBOS</w:t>
            </w:r>
            <w:r w:rsidRPr="00E245BA">
              <w:rPr>
                <w:spacing w:val="-3"/>
              </w:rPr>
              <w:t xml:space="preserve">, DISTRITO DE </w:t>
            </w:r>
            <w:r w:rsidR="00377DAE">
              <w:rPr>
                <w:spacing w:val="-3"/>
              </w:rPr>
              <w:t>DOLEGA</w:t>
            </w:r>
            <w:r w:rsidRPr="00E245BA">
              <w:rPr>
                <w:spacing w:val="-3"/>
              </w:rPr>
              <w:t>, PROVINCIA DE CHIRIQUÍ</w:t>
            </w:r>
          </w:p>
        </w:tc>
      </w:tr>
    </w:tbl>
    <w:p w:rsidR="0086245C" w:rsidRPr="00E245BA" w:rsidRDefault="0086245C" w:rsidP="00E245BA">
      <w:pPr>
        <w:tabs>
          <w:tab w:val="left" w:pos="-1890"/>
        </w:tabs>
        <w:autoSpaceDE w:val="0"/>
        <w:autoSpaceDN w:val="0"/>
        <w:adjustRightInd w:val="0"/>
        <w:spacing w:after="240" w:line="276" w:lineRule="auto"/>
        <w:jc w:val="both"/>
        <w:rPr>
          <w:b/>
        </w:rPr>
      </w:pPr>
    </w:p>
    <w:p w:rsidR="0086245C" w:rsidRPr="00E245BA" w:rsidRDefault="007C6D53" w:rsidP="00E245BA">
      <w:pPr>
        <w:numPr>
          <w:ilvl w:val="0"/>
          <w:numId w:val="1"/>
        </w:numPr>
        <w:tabs>
          <w:tab w:val="left" w:pos="-1890"/>
        </w:tabs>
        <w:autoSpaceDE w:val="0"/>
        <w:autoSpaceDN w:val="0"/>
        <w:adjustRightInd w:val="0"/>
        <w:spacing w:after="240" w:line="276" w:lineRule="auto"/>
        <w:ind w:left="360"/>
        <w:jc w:val="both"/>
        <w:rPr>
          <w:b/>
        </w:rPr>
      </w:pPr>
      <w:r w:rsidRPr="00E245BA">
        <w:rPr>
          <w:b/>
        </w:rPr>
        <w:t>ANTECEDENTES</w:t>
      </w:r>
    </w:p>
    <w:p w:rsidR="00EB609A" w:rsidRPr="00AE7D1A" w:rsidRDefault="0066636C" w:rsidP="00E245BA">
      <w:pPr>
        <w:autoSpaceDE w:val="0"/>
        <w:autoSpaceDN w:val="0"/>
        <w:adjustRightInd w:val="0"/>
        <w:jc w:val="both"/>
        <w:rPr>
          <w:b/>
        </w:rPr>
      </w:pPr>
      <w:r w:rsidRPr="0066636C">
        <w:t xml:space="preserve">El día </w:t>
      </w:r>
      <w:r w:rsidR="00377DAE">
        <w:t>cinco</w:t>
      </w:r>
      <w:r>
        <w:t xml:space="preserve"> (</w:t>
      </w:r>
      <w:r w:rsidR="00377DAE">
        <w:t>5</w:t>
      </w:r>
      <w:r w:rsidRPr="0066636C">
        <w:t xml:space="preserve">) de </w:t>
      </w:r>
      <w:r w:rsidR="00377DAE">
        <w:t>septiembre</w:t>
      </w:r>
      <w:r w:rsidR="00C9470E">
        <w:t xml:space="preserve"> de 2019</w:t>
      </w:r>
      <w:r w:rsidRPr="0066636C">
        <w:t xml:space="preserve">, el promotor </w:t>
      </w:r>
      <w:r w:rsidR="00377DAE" w:rsidRPr="00377DAE">
        <w:rPr>
          <w:b/>
        </w:rPr>
        <w:t xml:space="preserve">CONSTRUCTORA BOLIVAR ALVAREZ, </w:t>
      </w:r>
      <w:proofErr w:type="spellStart"/>
      <w:r w:rsidR="00377DAE" w:rsidRPr="00377DAE">
        <w:rPr>
          <w:b/>
        </w:rPr>
        <w:t>S.A.</w:t>
      </w:r>
      <w:r w:rsidRPr="0066636C">
        <w:t>persona</w:t>
      </w:r>
      <w:proofErr w:type="spellEnd"/>
      <w:r w:rsidRPr="0066636C">
        <w:t xml:space="preserve"> jurídica, con Folio N°  </w:t>
      </w:r>
      <w:r w:rsidR="00377DAE">
        <w:rPr>
          <w:lang w:val="es-PA"/>
        </w:rPr>
        <w:t>155631496</w:t>
      </w:r>
      <w:r w:rsidRPr="0066636C">
        <w:t xml:space="preserve"> cuyo </w:t>
      </w:r>
      <w:r w:rsidR="0087131D">
        <w:t>Representante</w:t>
      </w:r>
      <w:r w:rsidR="00826E0F">
        <w:t xml:space="preserve"> Legal</w:t>
      </w:r>
      <w:r w:rsidRPr="0066636C">
        <w:t xml:space="preserve"> es el señor </w:t>
      </w:r>
      <w:r w:rsidR="00377DAE" w:rsidRPr="00377DAE">
        <w:rPr>
          <w:b/>
        </w:rPr>
        <w:t>BOLIVAR ALVAREZ</w:t>
      </w:r>
      <w:r w:rsidR="00826E0F">
        <w:rPr>
          <w:b/>
        </w:rPr>
        <w:t xml:space="preserve">, </w:t>
      </w:r>
      <w:r w:rsidRPr="0066636C">
        <w:t xml:space="preserve">con cédula de identidad personal </w:t>
      </w:r>
      <w:r w:rsidR="00377DAE">
        <w:rPr>
          <w:b/>
          <w:lang w:val="es-PA"/>
        </w:rPr>
        <w:t>4-740-372</w:t>
      </w:r>
      <w:r w:rsidRPr="0066636C">
        <w:t>; presentó a</w:t>
      </w:r>
      <w:r w:rsidR="008146A8">
        <w:t xml:space="preserve"> través de la plataforma en línea (PREFASIA) d</w:t>
      </w:r>
      <w:r w:rsidRPr="0066636C">
        <w:t>el Ministerio de Ambiente (</w:t>
      </w:r>
      <w:proofErr w:type="spellStart"/>
      <w:r w:rsidRPr="0066636C">
        <w:t>MiAMBIENTE</w:t>
      </w:r>
      <w:proofErr w:type="spellEnd"/>
      <w:r w:rsidRPr="0066636C">
        <w:t>) un Estudio de Impacto Ambiental (EsIA), Categoría I, denominado “</w:t>
      </w:r>
      <w:r w:rsidR="00377DAE" w:rsidRPr="00377DAE">
        <w:rPr>
          <w:b/>
        </w:rPr>
        <w:t>URBANIZACIÓN VILLA VERDE</w:t>
      </w:r>
      <w:r w:rsidRPr="0066636C">
        <w:t xml:space="preserve">” elaborado bajo la responsabilidad de los consultores  </w:t>
      </w:r>
      <w:r w:rsidR="00B14637">
        <w:rPr>
          <w:b/>
          <w:bCs/>
          <w:lang w:val="es-PA"/>
        </w:rPr>
        <w:t>GISELA SANTAMARIA</w:t>
      </w:r>
      <w:r w:rsidR="00611CC2">
        <w:rPr>
          <w:b/>
          <w:bCs/>
          <w:lang w:val="es-PA"/>
        </w:rPr>
        <w:t xml:space="preserve"> </w:t>
      </w:r>
      <w:r w:rsidR="00256DE6">
        <w:rPr>
          <w:b/>
        </w:rPr>
        <w:t xml:space="preserve">y </w:t>
      </w:r>
      <w:r w:rsidR="00B14637">
        <w:rPr>
          <w:b/>
          <w:bCs/>
          <w:lang w:val="es-PA"/>
        </w:rPr>
        <w:t>ALBERTO QUINTERO</w:t>
      </w:r>
      <w:r w:rsidRPr="0066636C">
        <w:t>, personas naturales inscritas en el Registro de  Consultores Idóneos que  lleva el Ministerio de Ambiente (</w:t>
      </w:r>
      <w:proofErr w:type="spellStart"/>
      <w:r w:rsidRPr="0066636C">
        <w:t>MiAMBIENTE</w:t>
      </w:r>
      <w:proofErr w:type="spellEnd"/>
      <w:r w:rsidRPr="0066636C">
        <w:t xml:space="preserve">), mediante las Resoluciones </w:t>
      </w:r>
      <w:r w:rsidR="00B14637" w:rsidRPr="00B14637">
        <w:rPr>
          <w:b/>
          <w:bCs/>
          <w:lang w:val="es-PA"/>
        </w:rPr>
        <w:t>IAR-010-98</w:t>
      </w:r>
      <w:r w:rsidR="00B14637">
        <w:rPr>
          <w:b/>
          <w:bCs/>
          <w:lang w:val="es-PA"/>
        </w:rPr>
        <w:t xml:space="preserve"> </w:t>
      </w:r>
      <w:r w:rsidRPr="0066636C">
        <w:t xml:space="preserve">e </w:t>
      </w:r>
      <w:r w:rsidR="00B14637" w:rsidRPr="00B14637">
        <w:rPr>
          <w:b/>
          <w:bCs/>
          <w:lang w:val="es-PA"/>
        </w:rPr>
        <w:t>IRC-031-09</w:t>
      </w:r>
      <w:r w:rsidRPr="0066636C">
        <w:t xml:space="preserve">, respectivamente (foja 1 del expediente </w:t>
      </w:r>
      <w:r w:rsidR="00AE7D1A">
        <w:t>administrativo correspondiente),</w:t>
      </w:r>
    </w:p>
    <w:p w:rsidR="00EB609A" w:rsidRDefault="00EB609A" w:rsidP="00E245BA">
      <w:pPr>
        <w:autoSpaceDE w:val="0"/>
        <w:autoSpaceDN w:val="0"/>
        <w:adjustRightInd w:val="0"/>
        <w:jc w:val="both"/>
      </w:pPr>
    </w:p>
    <w:p w:rsidR="009146A2" w:rsidRPr="00B14637" w:rsidRDefault="007C6D53" w:rsidP="00B14637">
      <w:pPr>
        <w:autoSpaceDE w:val="0"/>
        <w:autoSpaceDN w:val="0"/>
        <w:adjustRightInd w:val="0"/>
        <w:jc w:val="both"/>
        <w:rPr>
          <w:rFonts w:eastAsia="SimSun"/>
          <w:color w:val="000000"/>
          <w:lang w:val="es-PA" w:eastAsia="es-PA"/>
        </w:rPr>
      </w:pPr>
      <w:r w:rsidRPr="00E245BA">
        <w:rPr>
          <w:bCs/>
        </w:rPr>
        <w:t>De acuerdo al EsIA, el proyecto en evaluación titulado</w:t>
      </w:r>
      <w:r w:rsidRPr="00E245BA">
        <w:rPr>
          <w:b/>
          <w:bCs/>
        </w:rPr>
        <w:t xml:space="preserve"> “</w:t>
      </w:r>
      <w:r w:rsidR="00B14637" w:rsidRPr="00B14637">
        <w:rPr>
          <w:b/>
          <w:bCs/>
        </w:rPr>
        <w:t>URBANIZACIÓN VILLA VERDE</w:t>
      </w:r>
      <w:r w:rsidRPr="00E245BA">
        <w:rPr>
          <w:b/>
        </w:rPr>
        <w:t>”</w:t>
      </w:r>
      <w:r w:rsidRPr="00E245BA">
        <w:rPr>
          <w:b/>
          <w:bCs/>
        </w:rPr>
        <w:t>,</w:t>
      </w:r>
      <w:r w:rsidRPr="00E245BA">
        <w:rPr>
          <w:bCs/>
        </w:rPr>
        <w:t xml:space="preserve"> </w:t>
      </w:r>
      <w:r w:rsidR="00B14637" w:rsidRPr="00B14637">
        <w:rPr>
          <w:rFonts w:eastAsia="SimSun"/>
          <w:color w:val="000000"/>
          <w:lang w:val="es-PA" w:eastAsia="es-PA"/>
        </w:rPr>
        <w:t>consiste en la habilitación de un terreno de 5 has + 1,71</w:t>
      </w:r>
      <w:r w:rsidR="00B14637">
        <w:rPr>
          <w:rFonts w:eastAsia="SimSun"/>
          <w:color w:val="000000"/>
          <w:lang w:val="es-PA" w:eastAsia="es-PA"/>
        </w:rPr>
        <w:t xml:space="preserve">3.06 m2 bajo la zonificación de </w:t>
      </w:r>
      <w:r w:rsidR="00B14637" w:rsidRPr="00B14637">
        <w:rPr>
          <w:rFonts w:eastAsia="SimSun"/>
          <w:color w:val="000000"/>
          <w:lang w:val="es-PA" w:eastAsia="es-PA"/>
        </w:rPr>
        <w:t>RESIDENCIAL DE BAJA DENSIDAD R-1, para la construcción de cincuenta</w:t>
      </w:r>
      <w:r w:rsidR="00B14637">
        <w:rPr>
          <w:rFonts w:eastAsia="SimSun"/>
          <w:color w:val="000000"/>
          <w:lang w:val="es-PA" w:eastAsia="es-PA"/>
        </w:rPr>
        <w:t xml:space="preserve"> y un (51) </w:t>
      </w:r>
      <w:r w:rsidR="00B14637" w:rsidRPr="00B14637">
        <w:rPr>
          <w:rFonts w:eastAsia="SimSun"/>
          <w:color w:val="000000"/>
          <w:lang w:val="es-PA" w:eastAsia="es-PA"/>
        </w:rPr>
        <w:t>residenciales unifamiliares desde los 600 m2 en adelante, dos (2) l</w:t>
      </w:r>
      <w:r w:rsidR="00B14637">
        <w:rPr>
          <w:rFonts w:eastAsia="SimSun"/>
          <w:color w:val="000000"/>
          <w:lang w:val="es-PA" w:eastAsia="es-PA"/>
        </w:rPr>
        <w:t xml:space="preserve">otes para uso público (parque), </w:t>
      </w:r>
      <w:r w:rsidR="00B14637" w:rsidRPr="00B14637">
        <w:rPr>
          <w:rFonts w:eastAsia="SimSun"/>
          <w:color w:val="000000"/>
          <w:lang w:val="es-PA" w:eastAsia="es-PA"/>
        </w:rPr>
        <w:t>un (1) lote de áreas verdes para uso público, un (1) lote para ta</w:t>
      </w:r>
      <w:r w:rsidR="00B14637">
        <w:rPr>
          <w:rFonts w:eastAsia="SimSun"/>
          <w:color w:val="000000"/>
          <w:lang w:val="es-PA" w:eastAsia="es-PA"/>
        </w:rPr>
        <w:t xml:space="preserve">nque de agua, además de área de </w:t>
      </w:r>
      <w:r w:rsidR="00B14637" w:rsidRPr="00B14637">
        <w:rPr>
          <w:rFonts w:eastAsia="SimSun"/>
          <w:color w:val="000000"/>
          <w:lang w:val="es-PA" w:eastAsia="es-PA"/>
        </w:rPr>
        <w:t>calles con rodadura y cunetas pavimentadas (avenida principal de</w:t>
      </w:r>
      <w:r w:rsidR="00B14637">
        <w:rPr>
          <w:rFonts w:eastAsia="SimSun"/>
          <w:color w:val="000000"/>
          <w:lang w:val="es-PA" w:eastAsia="es-PA"/>
        </w:rPr>
        <w:t xml:space="preserve"> 15.00 m y secundarias en 12.80 </w:t>
      </w:r>
      <w:r w:rsidR="00B14637" w:rsidRPr="00B14637">
        <w:rPr>
          <w:rFonts w:eastAsia="SimSun"/>
          <w:color w:val="000000"/>
          <w:lang w:val="es-PA" w:eastAsia="es-PA"/>
        </w:rPr>
        <w:t>metros), área de servidumbre del IDAAN, área de protección de b</w:t>
      </w:r>
      <w:r w:rsidR="00B14637">
        <w:rPr>
          <w:rFonts w:eastAsia="SimSun"/>
          <w:color w:val="000000"/>
          <w:lang w:val="es-PA" w:eastAsia="es-PA"/>
        </w:rPr>
        <w:t xml:space="preserve">osque de galería de la Quebrada </w:t>
      </w:r>
      <w:r w:rsidR="00B14637" w:rsidRPr="00B14637">
        <w:rPr>
          <w:rFonts w:eastAsia="SimSun"/>
          <w:color w:val="000000"/>
          <w:lang w:val="es-PA" w:eastAsia="es-PA"/>
        </w:rPr>
        <w:t>Los Algarrobos y servidumbre pluvial. Las aguas residuales s</w:t>
      </w:r>
      <w:r w:rsidR="00B14637">
        <w:rPr>
          <w:rFonts w:eastAsia="SimSun"/>
          <w:color w:val="000000"/>
          <w:lang w:val="es-PA" w:eastAsia="es-PA"/>
        </w:rPr>
        <w:t xml:space="preserve">e manejaran a través de tanques </w:t>
      </w:r>
      <w:r w:rsidR="00B14637" w:rsidRPr="00B14637">
        <w:rPr>
          <w:rFonts w:eastAsia="SimSun"/>
          <w:color w:val="000000"/>
          <w:lang w:val="es-PA" w:eastAsia="es-PA"/>
        </w:rPr>
        <w:t>sépticos individuales.</w:t>
      </w:r>
      <w:r w:rsidR="00D13F4A" w:rsidRPr="00E245BA">
        <w:rPr>
          <w:rFonts w:eastAsia="SimSun"/>
          <w:color w:val="000000"/>
          <w:vertAlign w:val="superscript"/>
          <w:lang w:val="es-PA" w:eastAsia="es-PA"/>
        </w:rPr>
        <w:t xml:space="preserve"> </w:t>
      </w:r>
    </w:p>
    <w:p w:rsidR="00B14637" w:rsidRDefault="00B14637" w:rsidP="00DC3629">
      <w:pPr>
        <w:spacing w:after="240" w:line="276" w:lineRule="auto"/>
        <w:jc w:val="both"/>
        <w:rPr>
          <w:bCs/>
          <w:lang w:val="es-PA"/>
        </w:rPr>
      </w:pPr>
    </w:p>
    <w:p w:rsidR="00AE7D1A" w:rsidRPr="004D2CAA" w:rsidRDefault="007C6D53" w:rsidP="00DC3629">
      <w:pPr>
        <w:spacing w:after="240" w:line="276" w:lineRule="auto"/>
        <w:jc w:val="both"/>
        <w:rPr>
          <w:lang w:val="es-PA"/>
        </w:rPr>
      </w:pPr>
      <w:r w:rsidRPr="00E245BA">
        <w:rPr>
          <w:bCs/>
        </w:rPr>
        <w:t xml:space="preserve">El área de construcción del proyecto será de </w:t>
      </w:r>
      <w:r w:rsidR="00B14637" w:rsidRPr="00B14637">
        <w:rPr>
          <w:lang w:val="es-PA"/>
        </w:rPr>
        <w:t>5 has + 1,713.06 m</w:t>
      </w:r>
      <w:r w:rsidR="00B14637" w:rsidRPr="00B14637">
        <w:rPr>
          <w:vertAlign w:val="superscript"/>
          <w:lang w:val="es-PA"/>
        </w:rPr>
        <w:t>2</w:t>
      </w:r>
      <w:r w:rsidRPr="00E245BA">
        <w:rPr>
          <w:bCs/>
        </w:rPr>
        <w:t>;</w:t>
      </w:r>
      <w:r w:rsidRPr="00E245BA">
        <w:t xml:space="preserve"> el mismo se desarrollará sobre </w:t>
      </w:r>
      <w:r w:rsidR="00011A65">
        <w:t>la</w:t>
      </w:r>
      <w:r w:rsidR="00B14637">
        <w:t xml:space="preserve"> </w:t>
      </w:r>
      <w:r w:rsidR="00011A65">
        <w:t>Finca con Folio Real No.</w:t>
      </w:r>
      <w:r w:rsidR="00712BD0" w:rsidRPr="00712BD0">
        <w:rPr>
          <w:rFonts w:ascii="Arial" w:eastAsia="SimSun" w:hAnsi="Arial" w:cs="Arial"/>
          <w:lang w:val="es-PA" w:eastAsia="es-PA"/>
        </w:rPr>
        <w:t xml:space="preserve"> </w:t>
      </w:r>
      <w:r w:rsidR="00B14637">
        <w:rPr>
          <w:lang w:val="es-PA"/>
        </w:rPr>
        <w:t>30204193</w:t>
      </w:r>
      <w:r w:rsidR="00712BD0" w:rsidRPr="00712BD0">
        <w:rPr>
          <w:lang w:val="es-PA"/>
        </w:rPr>
        <w:t xml:space="preserve">, con Código de Ubicación </w:t>
      </w:r>
      <w:r w:rsidR="00B14637">
        <w:rPr>
          <w:lang w:val="es-PA"/>
        </w:rPr>
        <w:t>4609</w:t>
      </w:r>
      <w:r w:rsidR="00011A65">
        <w:t>, la cual</w:t>
      </w:r>
      <w:r w:rsidR="006F08B0">
        <w:t xml:space="preserve"> se localiza en el corregimiento de </w:t>
      </w:r>
      <w:r w:rsidR="00B14637">
        <w:t>Los Algarrobos</w:t>
      </w:r>
      <w:r w:rsidR="006F08B0">
        <w:t xml:space="preserve">, distrito de </w:t>
      </w:r>
      <w:r w:rsidR="00B14637">
        <w:t>Dolega</w:t>
      </w:r>
      <w:r w:rsidR="006F08B0">
        <w:t xml:space="preserve">, provincia de Chiriquí. </w:t>
      </w:r>
      <w:r w:rsidR="00011A65">
        <w:t xml:space="preserve"> </w:t>
      </w:r>
    </w:p>
    <w:p w:rsidR="0086245C" w:rsidRPr="00E245BA" w:rsidRDefault="007C6D53" w:rsidP="00E245BA">
      <w:pPr>
        <w:spacing w:after="240" w:line="276" w:lineRule="auto"/>
        <w:jc w:val="both"/>
      </w:pPr>
      <w:r w:rsidRPr="00E245BA">
        <w:rPr>
          <w:color w:val="000000"/>
          <w:spacing w:val="-3"/>
        </w:rPr>
        <w:t xml:space="preserve">El monto total de la inversión </w:t>
      </w:r>
      <w:r w:rsidRPr="00E245BA">
        <w:t xml:space="preserve">se estima en B/ </w:t>
      </w:r>
      <w:r w:rsidR="00B14637" w:rsidRPr="00B14637">
        <w:rPr>
          <w:lang w:val="es-PA"/>
        </w:rPr>
        <w:t xml:space="preserve">2, 500,000.00 </w:t>
      </w:r>
      <w:r w:rsidRPr="00E245BA">
        <w:t>(</w:t>
      </w:r>
      <w:r w:rsidR="00B14637">
        <w:rPr>
          <w:lang w:val="es-PA"/>
        </w:rPr>
        <w:t>Dos</w:t>
      </w:r>
      <w:r w:rsidR="00712BD0" w:rsidRPr="00712BD0">
        <w:rPr>
          <w:lang w:val="es-PA"/>
        </w:rPr>
        <w:t xml:space="preserve"> Millones </w:t>
      </w:r>
      <w:r w:rsidR="00B14637">
        <w:rPr>
          <w:lang w:val="es-PA"/>
        </w:rPr>
        <w:t>Quinientos Mil</w:t>
      </w:r>
      <w:r w:rsidR="00712BD0" w:rsidRPr="00712BD0">
        <w:rPr>
          <w:lang w:val="es-PA"/>
        </w:rPr>
        <w:t xml:space="preserve"> de Balboas</w:t>
      </w:r>
      <w:r w:rsidR="00E245BA">
        <w:t>);</w:t>
      </w:r>
    </w:p>
    <w:p w:rsidR="00B14637" w:rsidRDefault="0050217B" w:rsidP="00F1144D">
      <w:pPr>
        <w:spacing w:after="240" w:line="276" w:lineRule="auto"/>
        <w:jc w:val="both"/>
        <w:outlineLvl w:val="1"/>
        <w:rPr>
          <w:spacing w:val="-3"/>
        </w:rPr>
      </w:pPr>
      <w:r w:rsidRPr="0050217B">
        <w:rPr>
          <w:spacing w:val="-3"/>
        </w:rPr>
        <w:t xml:space="preserve">El proyecto se construirá en las coordenadas UTM (DATUM WGS-84) ubicadas en los siguientes puntos, según se describe en el EsIA presentado y el polígono consta de un área aproximada de </w:t>
      </w:r>
      <w:bookmarkStart w:id="0" w:name="_GoBack"/>
      <w:r w:rsidR="00B14637" w:rsidRPr="00B14637">
        <w:rPr>
          <w:b/>
          <w:spacing w:val="-3"/>
          <w:lang w:val="es-PA"/>
        </w:rPr>
        <w:t>5 ha + 114 m</w:t>
      </w:r>
      <w:r w:rsidR="00B14637" w:rsidRPr="00B14637">
        <w:rPr>
          <w:b/>
          <w:spacing w:val="-3"/>
          <w:vertAlign w:val="superscript"/>
          <w:lang w:val="es-PA"/>
        </w:rPr>
        <w:t>2</w:t>
      </w:r>
      <w:bookmarkEnd w:id="0"/>
      <w:r w:rsidR="00F1144D">
        <w:rPr>
          <w:spacing w:val="-3"/>
          <w:lang w:val="es-PA"/>
        </w:rPr>
        <w:t xml:space="preserve">; </w:t>
      </w:r>
      <w:r w:rsidRPr="0050217B">
        <w:rPr>
          <w:spacing w:val="-3"/>
        </w:rPr>
        <w:t xml:space="preserve">de acuerdo a la verificación de coordenadas realizada por parte de la Dirección de Evaluación de Impacto Ambiental: </w:t>
      </w:r>
    </w:p>
    <w:p w:rsidR="00B14637" w:rsidRDefault="00B14637">
      <w:pPr>
        <w:spacing w:after="200" w:line="276" w:lineRule="auto"/>
        <w:rPr>
          <w:spacing w:val="-3"/>
        </w:rPr>
      </w:pPr>
      <w:r>
        <w:rPr>
          <w:spacing w:val="-3"/>
        </w:rPr>
        <w:br w:type="page"/>
      </w:r>
    </w:p>
    <w:p w:rsidR="00F012A6" w:rsidRPr="00B14637" w:rsidRDefault="00F012A6" w:rsidP="00F1144D">
      <w:pPr>
        <w:spacing w:after="240" w:line="276" w:lineRule="auto"/>
        <w:jc w:val="both"/>
        <w:outlineLvl w:val="1"/>
        <w:rPr>
          <w:spacing w:val="-3"/>
        </w:rPr>
      </w:pPr>
    </w:p>
    <w:tbl>
      <w:tblPr>
        <w:tblStyle w:val="Tablaconcuadrcula"/>
        <w:tblW w:w="0" w:type="auto"/>
        <w:jc w:val="center"/>
        <w:tblLook w:val="04A0" w:firstRow="1" w:lastRow="0" w:firstColumn="1" w:lastColumn="0" w:noHBand="0" w:noVBand="1"/>
      </w:tblPr>
      <w:tblGrid>
        <w:gridCol w:w="1284"/>
        <w:gridCol w:w="1276"/>
        <w:gridCol w:w="1356"/>
      </w:tblGrid>
      <w:tr w:rsidR="00DC3629" w:rsidRPr="00D07899" w:rsidTr="00B14637">
        <w:trPr>
          <w:trHeight w:val="330"/>
          <w:jc w:val="center"/>
        </w:trPr>
        <w:tc>
          <w:tcPr>
            <w:tcW w:w="1284" w:type="dxa"/>
            <w:hideMark/>
          </w:tcPr>
          <w:p w:rsidR="00DC3629" w:rsidRPr="00D07899" w:rsidRDefault="00DC3629" w:rsidP="00DC3629">
            <w:pPr>
              <w:spacing w:line="276" w:lineRule="auto"/>
              <w:jc w:val="center"/>
              <w:rPr>
                <w:b/>
                <w:bCs/>
              </w:rPr>
            </w:pPr>
            <w:r w:rsidRPr="00D07899">
              <w:rPr>
                <w:b/>
                <w:bCs/>
              </w:rPr>
              <w:t>Punto N°</w:t>
            </w:r>
          </w:p>
        </w:tc>
        <w:tc>
          <w:tcPr>
            <w:tcW w:w="1276" w:type="dxa"/>
            <w:hideMark/>
          </w:tcPr>
          <w:p w:rsidR="00DC3629" w:rsidRPr="00D07899" w:rsidRDefault="00DC3629" w:rsidP="00DC3629">
            <w:pPr>
              <w:spacing w:line="276" w:lineRule="auto"/>
              <w:jc w:val="center"/>
              <w:rPr>
                <w:b/>
                <w:bCs/>
              </w:rPr>
            </w:pPr>
            <w:r w:rsidRPr="00D07899">
              <w:rPr>
                <w:b/>
                <w:bCs/>
              </w:rPr>
              <w:t>NORTE</w:t>
            </w:r>
          </w:p>
        </w:tc>
        <w:tc>
          <w:tcPr>
            <w:tcW w:w="1356" w:type="dxa"/>
            <w:hideMark/>
          </w:tcPr>
          <w:p w:rsidR="00DC3629" w:rsidRPr="00D07899" w:rsidRDefault="00DC3629" w:rsidP="00DC3629">
            <w:pPr>
              <w:spacing w:line="276" w:lineRule="auto"/>
              <w:jc w:val="center"/>
              <w:rPr>
                <w:b/>
                <w:bCs/>
              </w:rPr>
            </w:pPr>
            <w:r w:rsidRPr="00D07899">
              <w:rPr>
                <w:b/>
                <w:bCs/>
              </w:rPr>
              <w:t>ESTE</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1</w:t>
            </w:r>
          </w:p>
        </w:tc>
        <w:tc>
          <w:tcPr>
            <w:tcW w:w="1276" w:type="dxa"/>
            <w:noWrap/>
            <w:vAlign w:val="bottom"/>
          </w:tcPr>
          <w:p w:rsidR="00D07899" w:rsidRPr="00D07899" w:rsidRDefault="00D07899">
            <w:pPr>
              <w:rPr>
                <w:color w:val="000000"/>
              </w:rPr>
            </w:pPr>
            <w:r w:rsidRPr="00D07899">
              <w:rPr>
                <w:color w:val="000000"/>
              </w:rPr>
              <w:t>939486.61</w:t>
            </w:r>
          </w:p>
        </w:tc>
        <w:tc>
          <w:tcPr>
            <w:tcW w:w="1356" w:type="dxa"/>
            <w:noWrap/>
            <w:vAlign w:val="bottom"/>
          </w:tcPr>
          <w:p w:rsidR="00D07899" w:rsidRPr="00D07899" w:rsidRDefault="00D07899">
            <w:pPr>
              <w:rPr>
                <w:color w:val="000000"/>
              </w:rPr>
            </w:pPr>
            <w:r w:rsidRPr="00D07899">
              <w:rPr>
                <w:color w:val="000000"/>
              </w:rPr>
              <w:t>342643.17</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2</w:t>
            </w:r>
          </w:p>
        </w:tc>
        <w:tc>
          <w:tcPr>
            <w:tcW w:w="1276" w:type="dxa"/>
            <w:noWrap/>
            <w:vAlign w:val="bottom"/>
          </w:tcPr>
          <w:p w:rsidR="00D07899" w:rsidRPr="00D07899" w:rsidRDefault="00D07899">
            <w:pPr>
              <w:rPr>
                <w:color w:val="000000"/>
              </w:rPr>
            </w:pPr>
            <w:r w:rsidRPr="00D07899">
              <w:rPr>
                <w:color w:val="000000"/>
              </w:rPr>
              <w:t>939509.90</w:t>
            </w:r>
          </w:p>
        </w:tc>
        <w:tc>
          <w:tcPr>
            <w:tcW w:w="1356" w:type="dxa"/>
            <w:noWrap/>
            <w:vAlign w:val="bottom"/>
          </w:tcPr>
          <w:p w:rsidR="00D07899" w:rsidRPr="00D07899" w:rsidRDefault="00D07899">
            <w:pPr>
              <w:rPr>
                <w:color w:val="000000"/>
              </w:rPr>
            </w:pPr>
            <w:r w:rsidRPr="00D07899">
              <w:rPr>
                <w:color w:val="000000"/>
              </w:rPr>
              <w:t>342651.02</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3</w:t>
            </w:r>
          </w:p>
        </w:tc>
        <w:tc>
          <w:tcPr>
            <w:tcW w:w="1276" w:type="dxa"/>
            <w:noWrap/>
            <w:vAlign w:val="bottom"/>
          </w:tcPr>
          <w:p w:rsidR="00D07899" w:rsidRPr="00D07899" w:rsidRDefault="00D07899">
            <w:pPr>
              <w:rPr>
                <w:color w:val="000000"/>
              </w:rPr>
            </w:pPr>
            <w:r w:rsidRPr="00D07899">
              <w:rPr>
                <w:color w:val="000000"/>
              </w:rPr>
              <w:t>939516.82</w:t>
            </w:r>
          </w:p>
        </w:tc>
        <w:tc>
          <w:tcPr>
            <w:tcW w:w="1356" w:type="dxa"/>
            <w:noWrap/>
            <w:vAlign w:val="bottom"/>
          </w:tcPr>
          <w:p w:rsidR="00D07899" w:rsidRPr="00D07899" w:rsidRDefault="00D07899">
            <w:pPr>
              <w:rPr>
                <w:color w:val="000000"/>
              </w:rPr>
            </w:pPr>
            <w:r w:rsidRPr="00D07899">
              <w:rPr>
                <w:color w:val="000000"/>
              </w:rPr>
              <w:t>342656.04</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4</w:t>
            </w:r>
          </w:p>
        </w:tc>
        <w:tc>
          <w:tcPr>
            <w:tcW w:w="1276" w:type="dxa"/>
            <w:noWrap/>
            <w:vAlign w:val="bottom"/>
          </w:tcPr>
          <w:p w:rsidR="00D07899" w:rsidRPr="00D07899" w:rsidRDefault="00D07899">
            <w:pPr>
              <w:rPr>
                <w:color w:val="000000"/>
              </w:rPr>
            </w:pPr>
            <w:r w:rsidRPr="00D07899">
              <w:rPr>
                <w:color w:val="000000"/>
              </w:rPr>
              <w:t>939532.30</w:t>
            </w:r>
          </w:p>
        </w:tc>
        <w:tc>
          <w:tcPr>
            <w:tcW w:w="1356" w:type="dxa"/>
            <w:noWrap/>
            <w:vAlign w:val="bottom"/>
          </w:tcPr>
          <w:p w:rsidR="00D07899" w:rsidRPr="00D07899" w:rsidRDefault="00D07899">
            <w:pPr>
              <w:rPr>
                <w:color w:val="000000"/>
              </w:rPr>
            </w:pPr>
            <w:r w:rsidRPr="00D07899">
              <w:rPr>
                <w:color w:val="000000"/>
              </w:rPr>
              <w:t>342668.48</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5</w:t>
            </w:r>
          </w:p>
        </w:tc>
        <w:tc>
          <w:tcPr>
            <w:tcW w:w="1276" w:type="dxa"/>
            <w:noWrap/>
            <w:vAlign w:val="bottom"/>
          </w:tcPr>
          <w:p w:rsidR="00D07899" w:rsidRPr="00D07899" w:rsidRDefault="00D07899">
            <w:pPr>
              <w:rPr>
                <w:color w:val="000000"/>
              </w:rPr>
            </w:pPr>
            <w:r w:rsidRPr="00D07899">
              <w:rPr>
                <w:color w:val="000000"/>
              </w:rPr>
              <w:t>939566.57</w:t>
            </w:r>
          </w:p>
        </w:tc>
        <w:tc>
          <w:tcPr>
            <w:tcW w:w="1356" w:type="dxa"/>
            <w:noWrap/>
            <w:vAlign w:val="bottom"/>
          </w:tcPr>
          <w:p w:rsidR="00D07899" w:rsidRPr="00D07899" w:rsidRDefault="00D07899">
            <w:pPr>
              <w:rPr>
                <w:color w:val="000000"/>
              </w:rPr>
            </w:pPr>
            <w:r w:rsidRPr="00D07899">
              <w:rPr>
                <w:color w:val="000000"/>
              </w:rPr>
              <w:t>342695.95</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6</w:t>
            </w:r>
          </w:p>
        </w:tc>
        <w:tc>
          <w:tcPr>
            <w:tcW w:w="1276" w:type="dxa"/>
            <w:noWrap/>
            <w:vAlign w:val="bottom"/>
          </w:tcPr>
          <w:p w:rsidR="00D07899" w:rsidRPr="00D07899" w:rsidRDefault="00D07899">
            <w:pPr>
              <w:rPr>
                <w:color w:val="000000"/>
              </w:rPr>
            </w:pPr>
            <w:r w:rsidRPr="00D07899">
              <w:rPr>
                <w:color w:val="000000"/>
              </w:rPr>
              <w:t>939604.21</w:t>
            </w:r>
          </w:p>
        </w:tc>
        <w:tc>
          <w:tcPr>
            <w:tcW w:w="1356" w:type="dxa"/>
            <w:noWrap/>
            <w:vAlign w:val="bottom"/>
          </w:tcPr>
          <w:p w:rsidR="00D07899" w:rsidRPr="00D07899" w:rsidRDefault="00D07899">
            <w:pPr>
              <w:rPr>
                <w:color w:val="000000"/>
              </w:rPr>
            </w:pPr>
            <w:r w:rsidRPr="00D07899">
              <w:rPr>
                <w:color w:val="000000"/>
              </w:rPr>
              <w:t>342723.41</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7</w:t>
            </w:r>
          </w:p>
        </w:tc>
        <w:tc>
          <w:tcPr>
            <w:tcW w:w="1276" w:type="dxa"/>
            <w:noWrap/>
            <w:vAlign w:val="bottom"/>
          </w:tcPr>
          <w:p w:rsidR="00D07899" w:rsidRPr="00D07899" w:rsidRDefault="00D07899">
            <w:pPr>
              <w:rPr>
                <w:color w:val="000000"/>
              </w:rPr>
            </w:pPr>
            <w:r w:rsidRPr="00D07899">
              <w:rPr>
                <w:color w:val="000000"/>
              </w:rPr>
              <w:t>939631.94</w:t>
            </w:r>
          </w:p>
        </w:tc>
        <w:tc>
          <w:tcPr>
            <w:tcW w:w="1356" w:type="dxa"/>
            <w:noWrap/>
            <w:vAlign w:val="bottom"/>
          </w:tcPr>
          <w:p w:rsidR="00D07899" w:rsidRPr="00D07899" w:rsidRDefault="00D07899">
            <w:pPr>
              <w:rPr>
                <w:color w:val="000000"/>
              </w:rPr>
            </w:pPr>
            <w:r w:rsidRPr="00D07899">
              <w:rPr>
                <w:color w:val="000000"/>
              </w:rPr>
              <w:t>342738.62</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8</w:t>
            </w:r>
          </w:p>
        </w:tc>
        <w:tc>
          <w:tcPr>
            <w:tcW w:w="1276" w:type="dxa"/>
            <w:noWrap/>
            <w:vAlign w:val="bottom"/>
          </w:tcPr>
          <w:p w:rsidR="00D07899" w:rsidRPr="00D07899" w:rsidRDefault="00D07899">
            <w:pPr>
              <w:rPr>
                <w:color w:val="000000"/>
              </w:rPr>
            </w:pPr>
            <w:r w:rsidRPr="00D07899">
              <w:rPr>
                <w:color w:val="000000"/>
              </w:rPr>
              <w:t>939647.19</w:t>
            </w:r>
          </w:p>
        </w:tc>
        <w:tc>
          <w:tcPr>
            <w:tcW w:w="1356" w:type="dxa"/>
            <w:noWrap/>
            <w:vAlign w:val="bottom"/>
          </w:tcPr>
          <w:p w:rsidR="00D07899" w:rsidRPr="00D07899" w:rsidRDefault="00D07899">
            <w:pPr>
              <w:rPr>
                <w:color w:val="000000"/>
              </w:rPr>
            </w:pPr>
            <w:r w:rsidRPr="00D07899">
              <w:rPr>
                <w:color w:val="000000"/>
              </w:rPr>
              <w:t>342732.62</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9</w:t>
            </w:r>
          </w:p>
        </w:tc>
        <w:tc>
          <w:tcPr>
            <w:tcW w:w="1276" w:type="dxa"/>
            <w:noWrap/>
            <w:vAlign w:val="bottom"/>
          </w:tcPr>
          <w:p w:rsidR="00D07899" w:rsidRPr="00D07899" w:rsidRDefault="00D07899">
            <w:pPr>
              <w:rPr>
                <w:color w:val="000000"/>
              </w:rPr>
            </w:pPr>
            <w:r w:rsidRPr="00D07899">
              <w:rPr>
                <w:color w:val="000000"/>
              </w:rPr>
              <w:t>939644.14</w:t>
            </w:r>
          </w:p>
        </w:tc>
        <w:tc>
          <w:tcPr>
            <w:tcW w:w="1356" w:type="dxa"/>
            <w:noWrap/>
            <w:vAlign w:val="bottom"/>
          </w:tcPr>
          <w:p w:rsidR="00D07899" w:rsidRPr="00D07899" w:rsidRDefault="00D07899">
            <w:pPr>
              <w:rPr>
                <w:color w:val="000000"/>
              </w:rPr>
            </w:pPr>
            <w:r w:rsidRPr="00D07899">
              <w:rPr>
                <w:color w:val="000000"/>
              </w:rPr>
              <w:t>342664.81</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10</w:t>
            </w:r>
          </w:p>
        </w:tc>
        <w:tc>
          <w:tcPr>
            <w:tcW w:w="1276" w:type="dxa"/>
            <w:noWrap/>
            <w:vAlign w:val="bottom"/>
          </w:tcPr>
          <w:p w:rsidR="00D07899" w:rsidRPr="00D07899" w:rsidRDefault="00D07899">
            <w:pPr>
              <w:rPr>
                <w:color w:val="000000"/>
              </w:rPr>
            </w:pPr>
            <w:r w:rsidRPr="00D07899">
              <w:rPr>
                <w:color w:val="000000"/>
              </w:rPr>
              <w:t>939639.46</w:t>
            </w:r>
          </w:p>
        </w:tc>
        <w:tc>
          <w:tcPr>
            <w:tcW w:w="1356" w:type="dxa"/>
            <w:noWrap/>
            <w:vAlign w:val="bottom"/>
          </w:tcPr>
          <w:p w:rsidR="00D07899" w:rsidRPr="00D07899" w:rsidRDefault="00D07899">
            <w:pPr>
              <w:rPr>
                <w:color w:val="000000"/>
              </w:rPr>
            </w:pPr>
            <w:r w:rsidRPr="00D07899">
              <w:rPr>
                <w:color w:val="000000"/>
              </w:rPr>
              <w:t>342586.77</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11</w:t>
            </w:r>
          </w:p>
        </w:tc>
        <w:tc>
          <w:tcPr>
            <w:tcW w:w="1276" w:type="dxa"/>
            <w:noWrap/>
            <w:vAlign w:val="bottom"/>
          </w:tcPr>
          <w:p w:rsidR="00D07899" w:rsidRPr="00D07899" w:rsidRDefault="00D07899">
            <w:pPr>
              <w:rPr>
                <w:color w:val="000000"/>
              </w:rPr>
            </w:pPr>
            <w:r w:rsidRPr="00D07899">
              <w:rPr>
                <w:color w:val="000000"/>
              </w:rPr>
              <w:t>939641.23</w:t>
            </w:r>
          </w:p>
        </w:tc>
        <w:tc>
          <w:tcPr>
            <w:tcW w:w="1356" w:type="dxa"/>
            <w:noWrap/>
            <w:vAlign w:val="bottom"/>
          </w:tcPr>
          <w:p w:rsidR="00D07899" w:rsidRPr="00D07899" w:rsidRDefault="00D07899">
            <w:pPr>
              <w:rPr>
                <w:color w:val="000000"/>
              </w:rPr>
            </w:pPr>
            <w:r w:rsidRPr="00D07899">
              <w:rPr>
                <w:color w:val="000000"/>
              </w:rPr>
              <w:t>342556.80</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12</w:t>
            </w:r>
          </w:p>
        </w:tc>
        <w:tc>
          <w:tcPr>
            <w:tcW w:w="1276" w:type="dxa"/>
            <w:noWrap/>
            <w:vAlign w:val="bottom"/>
          </w:tcPr>
          <w:p w:rsidR="00D07899" w:rsidRPr="00D07899" w:rsidRDefault="00D07899">
            <w:pPr>
              <w:rPr>
                <w:color w:val="000000"/>
              </w:rPr>
            </w:pPr>
            <w:r w:rsidRPr="00D07899">
              <w:rPr>
                <w:color w:val="000000"/>
              </w:rPr>
              <w:t>939641.63</w:t>
            </w:r>
          </w:p>
        </w:tc>
        <w:tc>
          <w:tcPr>
            <w:tcW w:w="1356" w:type="dxa"/>
            <w:noWrap/>
            <w:vAlign w:val="bottom"/>
          </w:tcPr>
          <w:p w:rsidR="00D07899" w:rsidRPr="00D07899" w:rsidRDefault="00D07899">
            <w:pPr>
              <w:rPr>
                <w:color w:val="000000"/>
              </w:rPr>
            </w:pPr>
            <w:r w:rsidRPr="00D07899">
              <w:rPr>
                <w:color w:val="000000"/>
              </w:rPr>
              <w:t>342537.67</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13</w:t>
            </w:r>
          </w:p>
        </w:tc>
        <w:tc>
          <w:tcPr>
            <w:tcW w:w="1276" w:type="dxa"/>
            <w:noWrap/>
            <w:vAlign w:val="bottom"/>
          </w:tcPr>
          <w:p w:rsidR="00D07899" w:rsidRPr="00D07899" w:rsidRDefault="00D07899">
            <w:pPr>
              <w:rPr>
                <w:color w:val="000000"/>
              </w:rPr>
            </w:pPr>
            <w:r w:rsidRPr="00D07899">
              <w:rPr>
                <w:color w:val="000000"/>
              </w:rPr>
              <w:t>939651.00</w:t>
            </w:r>
          </w:p>
        </w:tc>
        <w:tc>
          <w:tcPr>
            <w:tcW w:w="1356" w:type="dxa"/>
            <w:noWrap/>
            <w:vAlign w:val="bottom"/>
          </w:tcPr>
          <w:p w:rsidR="00D07899" w:rsidRPr="00D07899" w:rsidRDefault="00D07899">
            <w:pPr>
              <w:rPr>
                <w:color w:val="000000"/>
              </w:rPr>
            </w:pPr>
            <w:r w:rsidRPr="00D07899">
              <w:rPr>
                <w:color w:val="000000"/>
              </w:rPr>
              <w:t>342480.00</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14</w:t>
            </w:r>
          </w:p>
        </w:tc>
        <w:tc>
          <w:tcPr>
            <w:tcW w:w="1276" w:type="dxa"/>
            <w:noWrap/>
            <w:vAlign w:val="bottom"/>
          </w:tcPr>
          <w:p w:rsidR="00D07899" w:rsidRPr="00D07899" w:rsidRDefault="00D07899">
            <w:pPr>
              <w:rPr>
                <w:color w:val="000000"/>
              </w:rPr>
            </w:pPr>
            <w:r w:rsidRPr="00D07899">
              <w:rPr>
                <w:color w:val="000000"/>
              </w:rPr>
              <w:t>939598.37</w:t>
            </w:r>
          </w:p>
        </w:tc>
        <w:tc>
          <w:tcPr>
            <w:tcW w:w="1356" w:type="dxa"/>
            <w:noWrap/>
            <w:vAlign w:val="bottom"/>
          </w:tcPr>
          <w:p w:rsidR="00D07899" w:rsidRPr="00D07899" w:rsidRDefault="00D07899">
            <w:pPr>
              <w:rPr>
                <w:color w:val="000000"/>
              </w:rPr>
            </w:pPr>
            <w:r w:rsidRPr="00D07899">
              <w:rPr>
                <w:color w:val="000000"/>
              </w:rPr>
              <w:t>342469.46</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15</w:t>
            </w:r>
          </w:p>
        </w:tc>
        <w:tc>
          <w:tcPr>
            <w:tcW w:w="1276" w:type="dxa"/>
            <w:noWrap/>
            <w:vAlign w:val="bottom"/>
          </w:tcPr>
          <w:p w:rsidR="00D07899" w:rsidRPr="00D07899" w:rsidRDefault="00D07899">
            <w:pPr>
              <w:rPr>
                <w:color w:val="000000"/>
              </w:rPr>
            </w:pPr>
            <w:r w:rsidRPr="00D07899">
              <w:rPr>
                <w:color w:val="000000"/>
              </w:rPr>
              <w:t>939502.29</w:t>
            </w:r>
          </w:p>
        </w:tc>
        <w:tc>
          <w:tcPr>
            <w:tcW w:w="1356" w:type="dxa"/>
            <w:noWrap/>
            <w:vAlign w:val="bottom"/>
          </w:tcPr>
          <w:p w:rsidR="00D07899" w:rsidRPr="00D07899" w:rsidRDefault="00D07899">
            <w:pPr>
              <w:rPr>
                <w:color w:val="000000"/>
              </w:rPr>
            </w:pPr>
            <w:r w:rsidRPr="00D07899">
              <w:rPr>
                <w:color w:val="000000"/>
              </w:rPr>
              <w:t>342447.59</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16</w:t>
            </w:r>
          </w:p>
        </w:tc>
        <w:tc>
          <w:tcPr>
            <w:tcW w:w="1276" w:type="dxa"/>
            <w:noWrap/>
            <w:vAlign w:val="bottom"/>
          </w:tcPr>
          <w:p w:rsidR="00D07899" w:rsidRPr="00D07899" w:rsidRDefault="00D07899">
            <w:pPr>
              <w:rPr>
                <w:color w:val="000000"/>
              </w:rPr>
            </w:pPr>
            <w:r w:rsidRPr="00D07899">
              <w:rPr>
                <w:color w:val="000000"/>
              </w:rPr>
              <w:t>939500.07</w:t>
            </w:r>
          </w:p>
        </w:tc>
        <w:tc>
          <w:tcPr>
            <w:tcW w:w="1356" w:type="dxa"/>
            <w:noWrap/>
            <w:vAlign w:val="bottom"/>
          </w:tcPr>
          <w:p w:rsidR="00D07899" w:rsidRPr="00D07899" w:rsidRDefault="00D07899">
            <w:pPr>
              <w:rPr>
                <w:color w:val="000000"/>
              </w:rPr>
            </w:pPr>
            <w:r w:rsidRPr="00D07899">
              <w:rPr>
                <w:color w:val="000000"/>
              </w:rPr>
              <w:t>342457.34</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17</w:t>
            </w:r>
          </w:p>
        </w:tc>
        <w:tc>
          <w:tcPr>
            <w:tcW w:w="1276" w:type="dxa"/>
            <w:noWrap/>
            <w:vAlign w:val="bottom"/>
          </w:tcPr>
          <w:p w:rsidR="00D07899" w:rsidRPr="00D07899" w:rsidRDefault="00D07899">
            <w:pPr>
              <w:rPr>
                <w:color w:val="000000"/>
              </w:rPr>
            </w:pPr>
            <w:r w:rsidRPr="00D07899">
              <w:rPr>
                <w:color w:val="000000"/>
              </w:rPr>
              <w:t>939481.13</w:t>
            </w:r>
          </w:p>
        </w:tc>
        <w:tc>
          <w:tcPr>
            <w:tcW w:w="1356" w:type="dxa"/>
            <w:noWrap/>
            <w:vAlign w:val="bottom"/>
          </w:tcPr>
          <w:p w:rsidR="00D07899" w:rsidRPr="00D07899" w:rsidRDefault="00D07899">
            <w:pPr>
              <w:rPr>
                <w:color w:val="000000"/>
              </w:rPr>
            </w:pPr>
            <w:r w:rsidRPr="00D07899">
              <w:rPr>
                <w:color w:val="000000"/>
              </w:rPr>
              <w:t>342455.31</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18</w:t>
            </w:r>
          </w:p>
        </w:tc>
        <w:tc>
          <w:tcPr>
            <w:tcW w:w="1276" w:type="dxa"/>
            <w:noWrap/>
            <w:vAlign w:val="bottom"/>
          </w:tcPr>
          <w:p w:rsidR="00D07899" w:rsidRPr="00D07899" w:rsidRDefault="00D07899">
            <w:pPr>
              <w:rPr>
                <w:color w:val="000000"/>
              </w:rPr>
            </w:pPr>
            <w:r w:rsidRPr="00D07899">
              <w:rPr>
                <w:color w:val="000000"/>
              </w:rPr>
              <w:t>939461.24</w:t>
            </w:r>
          </w:p>
        </w:tc>
        <w:tc>
          <w:tcPr>
            <w:tcW w:w="1356" w:type="dxa"/>
            <w:noWrap/>
            <w:vAlign w:val="bottom"/>
          </w:tcPr>
          <w:p w:rsidR="00D07899" w:rsidRPr="00D07899" w:rsidRDefault="00D07899">
            <w:pPr>
              <w:rPr>
                <w:color w:val="000000"/>
              </w:rPr>
            </w:pPr>
            <w:r w:rsidRPr="00D07899">
              <w:rPr>
                <w:color w:val="000000"/>
              </w:rPr>
              <w:t>342453.19</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19</w:t>
            </w:r>
          </w:p>
        </w:tc>
        <w:tc>
          <w:tcPr>
            <w:tcW w:w="1276" w:type="dxa"/>
            <w:noWrap/>
            <w:vAlign w:val="bottom"/>
          </w:tcPr>
          <w:p w:rsidR="00D07899" w:rsidRPr="00D07899" w:rsidRDefault="00D07899">
            <w:pPr>
              <w:rPr>
                <w:color w:val="000000"/>
              </w:rPr>
            </w:pPr>
            <w:r w:rsidRPr="00D07899">
              <w:rPr>
                <w:color w:val="000000"/>
              </w:rPr>
              <w:t>939441.36</w:t>
            </w:r>
          </w:p>
        </w:tc>
        <w:tc>
          <w:tcPr>
            <w:tcW w:w="1356" w:type="dxa"/>
            <w:noWrap/>
            <w:vAlign w:val="bottom"/>
          </w:tcPr>
          <w:p w:rsidR="00D07899" w:rsidRPr="00D07899" w:rsidRDefault="00D07899">
            <w:pPr>
              <w:rPr>
                <w:color w:val="000000"/>
              </w:rPr>
            </w:pPr>
            <w:r w:rsidRPr="00D07899">
              <w:rPr>
                <w:color w:val="000000"/>
              </w:rPr>
              <w:t>342451.06</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20</w:t>
            </w:r>
          </w:p>
        </w:tc>
        <w:tc>
          <w:tcPr>
            <w:tcW w:w="1276" w:type="dxa"/>
            <w:noWrap/>
            <w:vAlign w:val="bottom"/>
          </w:tcPr>
          <w:p w:rsidR="00D07899" w:rsidRPr="00D07899" w:rsidRDefault="00D07899">
            <w:pPr>
              <w:rPr>
                <w:color w:val="000000"/>
              </w:rPr>
            </w:pPr>
            <w:r w:rsidRPr="00D07899">
              <w:rPr>
                <w:color w:val="000000"/>
              </w:rPr>
              <w:t>939425.94</w:t>
            </w:r>
          </w:p>
        </w:tc>
        <w:tc>
          <w:tcPr>
            <w:tcW w:w="1356" w:type="dxa"/>
            <w:noWrap/>
            <w:vAlign w:val="bottom"/>
          </w:tcPr>
          <w:p w:rsidR="00D07899" w:rsidRPr="00D07899" w:rsidRDefault="00D07899">
            <w:pPr>
              <w:rPr>
                <w:color w:val="000000"/>
              </w:rPr>
            </w:pPr>
            <w:r w:rsidRPr="00D07899">
              <w:rPr>
                <w:color w:val="000000"/>
              </w:rPr>
              <w:t>342449.42</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21</w:t>
            </w:r>
          </w:p>
        </w:tc>
        <w:tc>
          <w:tcPr>
            <w:tcW w:w="1276" w:type="dxa"/>
            <w:noWrap/>
            <w:vAlign w:val="bottom"/>
          </w:tcPr>
          <w:p w:rsidR="00D07899" w:rsidRPr="00D07899" w:rsidRDefault="00D07899">
            <w:pPr>
              <w:rPr>
                <w:color w:val="000000"/>
              </w:rPr>
            </w:pPr>
            <w:r w:rsidRPr="00D07899">
              <w:rPr>
                <w:color w:val="000000"/>
              </w:rPr>
              <w:t>939420.24</w:t>
            </w:r>
          </w:p>
        </w:tc>
        <w:tc>
          <w:tcPr>
            <w:tcW w:w="1356" w:type="dxa"/>
            <w:noWrap/>
            <w:vAlign w:val="bottom"/>
          </w:tcPr>
          <w:p w:rsidR="00D07899" w:rsidRPr="00D07899" w:rsidRDefault="00D07899">
            <w:pPr>
              <w:rPr>
                <w:color w:val="000000"/>
              </w:rPr>
            </w:pPr>
            <w:r w:rsidRPr="00D07899">
              <w:rPr>
                <w:color w:val="000000"/>
              </w:rPr>
              <w:t>342452.58</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22</w:t>
            </w:r>
          </w:p>
        </w:tc>
        <w:tc>
          <w:tcPr>
            <w:tcW w:w="1276" w:type="dxa"/>
            <w:noWrap/>
            <w:vAlign w:val="bottom"/>
          </w:tcPr>
          <w:p w:rsidR="00D07899" w:rsidRPr="00D07899" w:rsidRDefault="00D07899">
            <w:pPr>
              <w:rPr>
                <w:color w:val="000000"/>
              </w:rPr>
            </w:pPr>
            <w:r w:rsidRPr="00D07899">
              <w:rPr>
                <w:color w:val="000000"/>
              </w:rPr>
              <w:t>939396.59</w:t>
            </w:r>
          </w:p>
        </w:tc>
        <w:tc>
          <w:tcPr>
            <w:tcW w:w="1356" w:type="dxa"/>
            <w:noWrap/>
            <w:vAlign w:val="bottom"/>
          </w:tcPr>
          <w:p w:rsidR="00D07899" w:rsidRPr="00D07899" w:rsidRDefault="00D07899">
            <w:pPr>
              <w:rPr>
                <w:color w:val="000000"/>
              </w:rPr>
            </w:pPr>
            <w:r w:rsidRPr="00D07899">
              <w:rPr>
                <w:color w:val="000000"/>
              </w:rPr>
              <w:t>342439.62</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23</w:t>
            </w:r>
          </w:p>
        </w:tc>
        <w:tc>
          <w:tcPr>
            <w:tcW w:w="1276" w:type="dxa"/>
            <w:noWrap/>
            <w:vAlign w:val="bottom"/>
          </w:tcPr>
          <w:p w:rsidR="00D07899" w:rsidRPr="00D07899" w:rsidRDefault="00D07899">
            <w:pPr>
              <w:rPr>
                <w:color w:val="000000"/>
              </w:rPr>
            </w:pPr>
            <w:r w:rsidRPr="00D07899">
              <w:rPr>
                <w:color w:val="000000"/>
              </w:rPr>
              <w:t>939395.18</w:t>
            </w:r>
          </w:p>
        </w:tc>
        <w:tc>
          <w:tcPr>
            <w:tcW w:w="1356" w:type="dxa"/>
            <w:noWrap/>
            <w:vAlign w:val="bottom"/>
          </w:tcPr>
          <w:p w:rsidR="00D07899" w:rsidRPr="00D07899" w:rsidRDefault="00D07899">
            <w:pPr>
              <w:rPr>
                <w:color w:val="000000"/>
              </w:rPr>
            </w:pPr>
            <w:r w:rsidRPr="00D07899">
              <w:rPr>
                <w:color w:val="000000"/>
              </w:rPr>
              <w:t>342434.82</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24</w:t>
            </w:r>
          </w:p>
        </w:tc>
        <w:tc>
          <w:tcPr>
            <w:tcW w:w="1276" w:type="dxa"/>
            <w:noWrap/>
            <w:vAlign w:val="bottom"/>
          </w:tcPr>
          <w:p w:rsidR="00D07899" w:rsidRPr="00D07899" w:rsidRDefault="00D07899">
            <w:pPr>
              <w:rPr>
                <w:color w:val="000000"/>
              </w:rPr>
            </w:pPr>
            <w:r w:rsidRPr="00D07899">
              <w:rPr>
                <w:color w:val="000000"/>
              </w:rPr>
              <w:t>939387.39</w:t>
            </w:r>
          </w:p>
        </w:tc>
        <w:tc>
          <w:tcPr>
            <w:tcW w:w="1356" w:type="dxa"/>
            <w:noWrap/>
            <w:vAlign w:val="bottom"/>
          </w:tcPr>
          <w:p w:rsidR="00D07899" w:rsidRPr="00D07899" w:rsidRDefault="00D07899">
            <w:pPr>
              <w:rPr>
                <w:color w:val="000000"/>
              </w:rPr>
            </w:pPr>
            <w:r w:rsidRPr="00D07899">
              <w:rPr>
                <w:color w:val="000000"/>
              </w:rPr>
              <w:t>342449.05</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25</w:t>
            </w:r>
          </w:p>
        </w:tc>
        <w:tc>
          <w:tcPr>
            <w:tcW w:w="1276" w:type="dxa"/>
            <w:noWrap/>
            <w:vAlign w:val="bottom"/>
          </w:tcPr>
          <w:p w:rsidR="00D07899" w:rsidRPr="00D07899" w:rsidRDefault="00D07899">
            <w:pPr>
              <w:rPr>
                <w:color w:val="000000"/>
              </w:rPr>
            </w:pPr>
            <w:r w:rsidRPr="00D07899">
              <w:rPr>
                <w:color w:val="000000"/>
              </w:rPr>
              <w:t>939385.17</w:t>
            </w:r>
          </w:p>
        </w:tc>
        <w:tc>
          <w:tcPr>
            <w:tcW w:w="1356" w:type="dxa"/>
            <w:noWrap/>
            <w:vAlign w:val="bottom"/>
          </w:tcPr>
          <w:p w:rsidR="00D07899" w:rsidRPr="00D07899" w:rsidRDefault="00D07899">
            <w:pPr>
              <w:rPr>
                <w:color w:val="000000"/>
              </w:rPr>
            </w:pPr>
            <w:r w:rsidRPr="00D07899">
              <w:rPr>
                <w:color w:val="000000"/>
              </w:rPr>
              <w:t>342454.75</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26</w:t>
            </w:r>
          </w:p>
        </w:tc>
        <w:tc>
          <w:tcPr>
            <w:tcW w:w="1276" w:type="dxa"/>
            <w:noWrap/>
            <w:vAlign w:val="bottom"/>
          </w:tcPr>
          <w:p w:rsidR="00D07899" w:rsidRPr="00D07899" w:rsidRDefault="00D07899">
            <w:pPr>
              <w:rPr>
                <w:color w:val="000000"/>
              </w:rPr>
            </w:pPr>
            <w:r w:rsidRPr="00D07899">
              <w:rPr>
                <w:color w:val="000000"/>
              </w:rPr>
              <w:t>939389.87</w:t>
            </w:r>
          </w:p>
        </w:tc>
        <w:tc>
          <w:tcPr>
            <w:tcW w:w="1356" w:type="dxa"/>
            <w:noWrap/>
            <w:vAlign w:val="bottom"/>
          </w:tcPr>
          <w:p w:rsidR="00D07899" w:rsidRPr="00D07899" w:rsidRDefault="00D07899">
            <w:pPr>
              <w:rPr>
                <w:color w:val="000000"/>
              </w:rPr>
            </w:pPr>
            <w:r w:rsidRPr="00D07899">
              <w:rPr>
                <w:color w:val="000000"/>
              </w:rPr>
              <w:t>342453.03</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27</w:t>
            </w:r>
          </w:p>
        </w:tc>
        <w:tc>
          <w:tcPr>
            <w:tcW w:w="1276" w:type="dxa"/>
            <w:noWrap/>
            <w:vAlign w:val="bottom"/>
          </w:tcPr>
          <w:p w:rsidR="00D07899" w:rsidRPr="00D07899" w:rsidRDefault="00D07899">
            <w:pPr>
              <w:rPr>
                <w:color w:val="000000"/>
              </w:rPr>
            </w:pPr>
            <w:r w:rsidRPr="00D07899">
              <w:rPr>
                <w:color w:val="000000"/>
              </w:rPr>
              <w:t>939413.93</w:t>
            </w:r>
          </w:p>
        </w:tc>
        <w:tc>
          <w:tcPr>
            <w:tcW w:w="1356" w:type="dxa"/>
            <w:noWrap/>
            <w:vAlign w:val="bottom"/>
          </w:tcPr>
          <w:p w:rsidR="00D07899" w:rsidRPr="00D07899" w:rsidRDefault="00D07899">
            <w:pPr>
              <w:rPr>
                <w:color w:val="000000"/>
              </w:rPr>
            </w:pPr>
            <w:r w:rsidRPr="00D07899">
              <w:rPr>
                <w:color w:val="000000"/>
              </w:rPr>
              <w:t>342466.22</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28</w:t>
            </w:r>
          </w:p>
        </w:tc>
        <w:tc>
          <w:tcPr>
            <w:tcW w:w="1276" w:type="dxa"/>
            <w:noWrap/>
            <w:vAlign w:val="bottom"/>
          </w:tcPr>
          <w:p w:rsidR="00D07899" w:rsidRPr="00D07899" w:rsidRDefault="00D07899">
            <w:pPr>
              <w:rPr>
                <w:color w:val="000000"/>
              </w:rPr>
            </w:pPr>
            <w:r w:rsidRPr="00D07899">
              <w:rPr>
                <w:color w:val="000000"/>
              </w:rPr>
              <w:t>939405.90</w:t>
            </w:r>
          </w:p>
        </w:tc>
        <w:tc>
          <w:tcPr>
            <w:tcW w:w="1356" w:type="dxa"/>
            <w:noWrap/>
            <w:vAlign w:val="bottom"/>
          </w:tcPr>
          <w:p w:rsidR="00D07899" w:rsidRPr="00D07899" w:rsidRDefault="00D07899">
            <w:pPr>
              <w:rPr>
                <w:color w:val="000000"/>
              </w:rPr>
            </w:pPr>
            <w:r w:rsidRPr="00D07899">
              <w:rPr>
                <w:color w:val="000000"/>
              </w:rPr>
              <w:t>342484.00</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29</w:t>
            </w:r>
          </w:p>
        </w:tc>
        <w:tc>
          <w:tcPr>
            <w:tcW w:w="1276" w:type="dxa"/>
            <w:noWrap/>
            <w:vAlign w:val="bottom"/>
          </w:tcPr>
          <w:p w:rsidR="00D07899" w:rsidRPr="00D07899" w:rsidRDefault="00D07899">
            <w:pPr>
              <w:rPr>
                <w:color w:val="000000"/>
              </w:rPr>
            </w:pPr>
            <w:r w:rsidRPr="00D07899">
              <w:rPr>
                <w:color w:val="000000"/>
              </w:rPr>
              <w:t>939397.54</w:t>
            </w:r>
          </w:p>
        </w:tc>
        <w:tc>
          <w:tcPr>
            <w:tcW w:w="1356" w:type="dxa"/>
            <w:noWrap/>
            <w:vAlign w:val="bottom"/>
          </w:tcPr>
          <w:p w:rsidR="00D07899" w:rsidRPr="00D07899" w:rsidRDefault="00D07899">
            <w:pPr>
              <w:rPr>
                <w:color w:val="000000"/>
              </w:rPr>
            </w:pPr>
            <w:r w:rsidRPr="00D07899">
              <w:rPr>
                <w:color w:val="000000"/>
              </w:rPr>
              <w:t>342502.49</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30</w:t>
            </w:r>
          </w:p>
        </w:tc>
        <w:tc>
          <w:tcPr>
            <w:tcW w:w="1276" w:type="dxa"/>
            <w:noWrap/>
            <w:vAlign w:val="bottom"/>
          </w:tcPr>
          <w:p w:rsidR="00D07899" w:rsidRPr="00D07899" w:rsidRDefault="00D07899">
            <w:pPr>
              <w:rPr>
                <w:color w:val="000000"/>
              </w:rPr>
            </w:pPr>
            <w:r w:rsidRPr="00D07899">
              <w:rPr>
                <w:color w:val="000000"/>
              </w:rPr>
              <w:t>939388.70</w:t>
            </w:r>
          </w:p>
        </w:tc>
        <w:tc>
          <w:tcPr>
            <w:tcW w:w="1356" w:type="dxa"/>
            <w:noWrap/>
            <w:vAlign w:val="bottom"/>
          </w:tcPr>
          <w:p w:rsidR="00D07899" w:rsidRPr="00D07899" w:rsidRDefault="00D07899">
            <w:pPr>
              <w:rPr>
                <w:color w:val="000000"/>
              </w:rPr>
            </w:pPr>
            <w:r w:rsidRPr="00D07899">
              <w:rPr>
                <w:color w:val="000000"/>
              </w:rPr>
              <w:t>342522.06</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31</w:t>
            </w:r>
          </w:p>
        </w:tc>
        <w:tc>
          <w:tcPr>
            <w:tcW w:w="1276" w:type="dxa"/>
            <w:noWrap/>
            <w:vAlign w:val="bottom"/>
          </w:tcPr>
          <w:p w:rsidR="00D07899" w:rsidRPr="00D07899" w:rsidRDefault="00D07899">
            <w:pPr>
              <w:rPr>
                <w:color w:val="000000"/>
              </w:rPr>
            </w:pPr>
            <w:r w:rsidRPr="00D07899">
              <w:rPr>
                <w:color w:val="000000"/>
              </w:rPr>
              <w:t>939387.85</w:t>
            </w:r>
          </w:p>
        </w:tc>
        <w:tc>
          <w:tcPr>
            <w:tcW w:w="1356" w:type="dxa"/>
            <w:noWrap/>
            <w:vAlign w:val="bottom"/>
          </w:tcPr>
          <w:p w:rsidR="00D07899" w:rsidRPr="00D07899" w:rsidRDefault="00D07899">
            <w:pPr>
              <w:rPr>
                <w:color w:val="000000"/>
              </w:rPr>
            </w:pPr>
            <w:r w:rsidRPr="00D07899">
              <w:rPr>
                <w:color w:val="000000"/>
              </w:rPr>
              <w:t>342523.92</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32</w:t>
            </w:r>
          </w:p>
        </w:tc>
        <w:tc>
          <w:tcPr>
            <w:tcW w:w="1276" w:type="dxa"/>
            <w:noWrap/>
            <w:vAlign w:val="bottom"/>
          </w:tcPr>
          <w:p w:rsidR="00D07899" w:rsidRPr="00D07899" w:rsidRDefault="00D07899">
            <w:pPr>
              <w:rPr>
                <w:color w:val="000000"/>
              </w:rPr>
            </w:pPr>
            <w:r w:rsidRPr="00D07899">
              <w:rPr>
                <w:color w:val="000000"/>
              </w:rPr>
              <w:t>939384.84</w:t>
            </w:r>
          </w:p>
        </w:tc>
        <w:tc>
          <w:tcPr>
            <w:tcW w:w="1356" w:type="dxa"/>
            <w:noWrap/>
            <w:vAlign w:val="bottom"/>
          </w:tcPr>
          <w:p w:rsidR="00D07899" w:rsidRPr="00D07899" w:rsidRDefault="00D07899">
            <w:pPr>
              <w:rPr>
                <w:color w:val="000000"/>
              </w:rPr>
            </w:pPr>
            <w:r w:rsidRPr="00D07899">
              <w:rPr>
                <w:color w:val="000000"/>
              </w:rPr>
              <w:t>342535.8</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33</w:t>
            </w:r>
          </w:p>
        </w:tc>
        <w:tc>
          <w:tcPr>
            <w:tcW w:w="1276" w:type="dxa"/>
            <w:noWrap/>
            <w:vAlign w:val="bottom"/>
          </w:tcPr>
          <w:p w:rsidR="00D07899" w:rsidRPr="00D07899" w:rsidRDefault="00D07899">
            <w:pPr>
              <w:rPr>
                <w:color w:val="000000"/>
              </w:rPr>
            </w:pPr>
            <w:r w:rsidRPr="00D07899">
              <w:rPr>
                <w:color w:val="000000"/>
              </w:rPr>
              <w:t>939379.09</w:t>
            </w:r>
          </w:p>
        </w:tc>
        <w:tc>
          <w:tcPr>
            <w:tcW w:w="1356" w:type="dxa"/>
            <w:noWrap/>
            <w:vAlign w:val="bottom"/>
          </w:tcPr>
          <w:p w:rsidR="00D07899" w:rsidRPr="00D07899" w:rsidRDefault="00D07899">
            <w:pPr>
              <w:rPr>
                <w:color w:val="000000"/>
              </w:rPr>
            </w:pPr>
            <w:r w:rsidRPr="00D07899">
              <w:rPr>
                <w:color w:val="000000"/>
              </w:rPr>
              <w:t>342558.46</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34</w:t>
            </w:r>
          </w:p>
        </w:tc>
        <w:tc>
          <w:tcPr>
            <w:tcW w:w="1276" w:type="dxa"/>
            <w:noWrap/>
            <w:vAlign w:val="bottom"/>
          </w:tcPr>
          <w:p w:rsidR="00D07899" w:rsidRPr="00D07899" w:rsidRDefault="00D07899">
            <w:pPr>
              <w:rPr>
                <w:color w:val="000000"/>
              </w:rPr>
            </w:pPr>
            <w:r w:rsidRPr="00D07899">
              <w:rPr>
                <w:color w:val="000000"/>
              </w:rPr>
              <w:t>939397.78</w:t>
            </w:r>
          </w:p>
        </w:tc>
        <w:tc>
          <w:tcPr>
            <w:tcW w:w="1356" w:type="dxa"/>
            <w:noWrap/>
            <w:vAlign w:val="bottom"/>
          </w:tcPr>
          <w:p w:rsidR="00D07899" w:rsidRPr="00D07899" w:rsidRDefault="00D07899">
            <w:pPr>
              <w:rPr>
                <w:color w:val="000000"/>
              </w:rPr>
            </w:pPr>
            <w:r w:rsidRPr="00D07899">
              <w:rPr>
                <w:color w:val="000000"/>
              </w:rPr>
              <w:t>342574.78</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35</w:t>
            </w:r>
          </w:p>
        </w:tc>
        <w:tc>
          <w:tcPr>
            <w:tcW w:w="1276" w:type="dxa"/>
            <w:noWrap/>
            <w:vAlign w:val="bottom"/>
          </w:tcPr>
          <w:p w:rsidR="00D07899" w:rsidRPr="00D07899" w:rsidRDefault="00D07899">
            <w:pPr>
              <w:rPr>
                <w:color w:val="000000"/>
              </w:rPr>
            </w:pPr>
            <w:r w:rsidRPr="00D07899">
              <w:rPr>
                <w:color w:val="000000"/>
              </w:rPr>
              <w:t>939430.35</w:t>
            </w:r>
          </w:p>
        </w:tc>
        <w:tc>
          <w:tcPr>
            <w:tcW w:w="1356" w:type="dxa"/>
            <w:noWrap/>
            <w:vAlign w:val="bottom"/>
          </w:tcPr>
          <w:p w:rsidR="00D07899" w:rsidRPr="00D07899" w:rsidRDefault="00D07899">
            <w:pPr>
              <w:rPr>
                <w:color w:val="000000"/>
              </w:rPr>
            </w:pPr>
            <w:r w:rsidRPr="00D07899">
              <w:rPr>
                <w:color w:val="000000"/>
              </w:rPr>
              <w:t>342598.37</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36</w:t>
            </w:r>
          </w:p>
        </w:tc>
        <w:tc>
          <w:tcPr>
            <w:tcW w:w="1276" w:type="dxa"/>
            <w:noWrap/>
            <w:vAlign w:val="bottom"/>
          </w:tcPr>
          <w:p w:rsidR="00D07899" w:rsidRPr="00D07899" w:rsidRDefault="00D07899">
            <w:pPr>
              <w:rPr>
                <w:color w:val="000000"/>
              </w:rPr>
            </w:pPr>
            <w:r w:rsidRPr="00D07899">
              <w:rPr>
                <w:color w:val="000000"/>
              </w:rPr>
              <w:t>939440.6</w:t>
            </w:r>
          </w:p>
        </w:tc>
        <w:tc>
          <w:tcPr>
            <w:tcW w:w="1356" w:type="dxa"/>
            <w:noWrap/>
            <w:vAlign w:val="bottom"/>
          </w:tcPr>
          <w:p w:rsidR="00D07899" w:rsidRPr="00D07899" w:rsidRDefault="00D07899">
            <w:pPr>
              <w:rPr>
                <w:color w:val="000000"/>
              </w:rPr>
            </w:pPr>
            <w:r w:rsidRPr="00D07899">
              <w:rPr>
                <w:color w:val="000000"/>
              </w:rPr>
              <w:t>342618.23</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37</w:t>
            </w:r>
          </w:p>
        </w:tc>
        <w:tc>
          <w:tcPr>
            <w:tcW w:w="1276" w:type="dxa"/>
            <w:noWrap/>
            <w:vAlign w:val="bottom"/>
          </w:tcPr>
          <w:p w:rsidR="00D07899" w:rsidRPr="00D07899" w:rsidRDefault="00D07899">
            <w:pPr>
              <w:rPr>
                <w:color w:val="000000"/>
              </w:rPr>
            </w:pPr>
            <w:r w:rsidRPr="00D07899">
              <w:rPr>
                <w:color w:val="000000"/>
              </w:rPr>
              <w:t>939442.41</w:t>
            </w:r>
          </w:p>
        </w:tc>
        <w:tc>
          <w:tcPr>
            <w:tcW w:w="1356" w:type="dxa"/>
            <w:noWrap/>
            <w:vAlign w:val="bottom"/>
          </w:tcPr>
          <w:p w:rsidR="00D07899" w:rsidRPr="00D07899" w:rsidRDefault="00D07899">
            <w:pPr>
              <w:rPr>
                <w:color w:val="000000"/>
              </w:rPr>
            </w:pPr>
            <w:r w:rsidRPr="00D07899">
              <w:rPr>
                <w:color w:val="000000"/>
              </w:rPr>
              <w:t>342619.17</w:t>
            </w:r>
          </w:p>
        </w:tc>
      </w:tr>
      <w:tr w:rsidR="00D07899" w:rsidRPr="00D07899" w:rsidTr="00554698">
        <w:trPr>
          <w:trHeight w:val="315"/>
          <w:jc w:val="center"/>
        </w:trPr>
        <w:tc>
          <w:tcPr>
            <w:tcW w:w="1284" w:type="dxa"/>
            <w:hideMark/>
          </w:tcPr>
          <w:p w:rsidR="00D07899" w:rsidRPr="00D07899" w:rsidRDefault="00D07899" w:rsidP="00DC3629">
            <w:pPr>
              <w:spacing w:line="276" w:lineRule="auto"/>
              <w:jc w:val="both"/>
              <w:rPr>
                <w:bCs/>
              </w:rPr>
            </w:pPr>
            <w:r w:rsidRPr="00D07899">
              <w:rPr>
                <w:bCs/>
              </w:rPr>
              <w:t>38</w:t>
            </w:r>
          </w:p>
        </w:tc>
        <w:tc>
          <w:tcPr>
            <w:tcW w:w="1276" w:type="dxa"/>
            <w:noWrap/>
            <w:vAlign w:val="bottom"/>
          </w:tcPr>
          <w:p w:rsidR="00D07899" w:rsidRPr="00D07899" w:rsidRDefault="00D07899">
            <w:pPr>
              <w:rPr>
                <w:color w:val="000000"/>
              </w:rPr>
            </w:pPr>
            <w:r w:rsidRPr="00D07899">
              <w:rPr>
                <w:color w:val="000000"/>
              </w:rPr>
              <w:t>939468.72</w:t>
            </w:r>
          </w:p>
        </w:tc>
        <w:tc>
          <w:tcPr>
            <w:tcW w:w="1356" w:type="dxa"/>
            <w:noWrap/>
            <w:vAlign w:val="bottom"/>
          </w:tcPr>
          <w:p w:rsidR="00D07899" w:rsidRPr="00D07899" w:rsidRDefault="00D07899">
            <w:pPr>
              <w:rPr>
                <w:color w:val="000000"/>
              </w:rPr>
            </w:pPr>
            <w:r w:rsidRPr="00D07899">
              <w:rPr>
                <w:color w:val="000000"/>
              </w:rPr>
              <w:t>342641.77</w:t>
            </w:r>
          </w:p>
        </w:tc>
      </w:tr>
      <w:tr w:rsidR="003C695F" w:rsidRPr="00D07899" w:rsidTr="00C72351">
        <w:trPr>
          <w:trHeight w:val="315"/>
          <w:jc w:val="center"/>
        </w:trPr>
        <w:tc>
          <w:tcPr>
            <w:tcW w:w="3916" w:type="dxa"/>
            <w:gridSpan w:val="3"/>
          </w:tcPr>
          <w:p w:rsidR="003C695F" w:rsidRPr="003C695F" w:rsidRDefault="003C695F" w:rsidP="003C695F">
            <w:pPr>
              <w:jc w:val="center"/>
              <w:rPr>
                <w:b/>
                <w:color w:val="000000"/>
              </w:rPr>
            </w:pPr>
            <w:r>
              <w:rPr>
                <w:b/>
                <w:color w:val="000000"/>
              </w:rPr>
              <w:t>COORDENADAS DEL ZAMPEADO</w:t>
            </w:r>
          </w:p>
        </w:tc>
      </w:tr>
      <w:tr w:rsidR="003C695F" w:rsidRPr="00D07899" w:rsidTr="006A0435">
        <w:trPr>
          <w:trHeight w:val="315"/>
          <w:jc w:val="center"/>
        </w:trPr>
        <w:tc>
          <w:tcPr>
            <w:tcW w:w="1284" w:type="dxa"/>
          </w:tcPr>
          <w:p w:rsidR="003C695F" w:rsidRPr="00B564A5" w:rsidRDefault="003C695F" w:rsidP="00F7564D">
            <w:r w:rsidRPr="00B564A5">
              <w:t>1</w:t>
            </w:r>
          </w:p>
        </w:tc>
        <w:tc>
          <w:tcPr>
            <w:tcW w:w="1276" w:type="dxa"/>
            <w:noWrap/>
          </w:tcPr>
          <w:p w:rsidR="003C695F" w:rsidRPr="00B564A5" w:rsidRDefault="003C695F" w:rsidP="00F7564D">
            <w:r w:rsidRPr="00B564A5">
              <w:t>342638.65</w:t>
            </w:r>
          </w:p>
        </w:tc>
        <w:tc>
          <w:tcPr>
            <w:tcW w:w="1356" w:type="dxa"/>
            <w:noWrap/>
          </w:tcPr>
          <w:p w:rsidR="003C695F" w:rsidRPr="00B564A5" w:rsidRDefault="003C695F" w:rsidP="00F7564D">
            <w:r w:rsidRPr="00B564A5">
              <w:t>939466.94</w:t>
            </w:r>
          </w:p>
        </w:tc>
      </w:tr>
      <w:tr w:rsidR="003C695F" w:rsidRPr="00D07899" w:rsidTr="006A0435">
        <w:trPr>
          <w:trHeight w:val="315"/>
          <w:jc w:val="center"/>
        </w:trPr>
        <w:tc>
          <w:tcPr>
            <w:tcW w:w="1284" w:type="dxa"/>
          </w:tcPr>
          <w:p w:rsidR="003C695F" w:rsidRPr="00B564A5" w:rsidRDefault="003C695F" w:rsidP="00F7564D">
            <w:r w:rsidRPr="00B564A5">
              <w:t>2</w:t>
            </w:r>
          </w:p>
        </w:tc>
        <w:tc>
          <w:tcPr>
            <w:tcW w:w="1276" w:type="dxa"/>
            <w:noWrap/>
          </w:tcPr>
          <w:p w:rsidR="003C695F" w:rsidRPr="00B564A5" w:rsidRDefault="003C695F" w:rsidP="00F7564D">
            <w:r w:rsidRPr="00B564A5">
              <w:t>342628.62</w:t>
            </w:r>
          </w:p>
        </w:tc>
        <w:tc>
          <w:tcPr>
            <w:tcW w:w="1356" w:type="dxa"/>
            <w:noWrap/>
          </w:tcPr>
          <w:p w:rsidR="003C695F" w:rsidRPr="00B564A5" w:rsidRDefault="003C695F" w:rsidP="00F7564D">
            <w:r w:rsidRPr="00B564A5">
              <w:t>939455.40</w:t>
            </w:r>
          </w:p>
        </w:tc>
      </w:tr>
      <w:tr w:rsidR="003C695F" w:rsidRPr="00D07899" w:rsidTr="006A0435">
        <w:trPr>
          <w:trHeight w:val="315"/>
          <w:jc w:val="center"/>
        </w:trPr>
        <w:tc>
          <w:tcPr>
            <w:tcW w:w="1284" w:type="dxa"/>
          </w:tcPr>
          <w:p w:rsidR="003C695F" w:rsidRPr="00B564A5" w:rsidRDefault="003C695F" w:rsidP="00F7564D">
            <w:r>
              <w:t>3</w:t>
            </w:r>
          </w:p>
        </w:tc>
        <w:tc>
          <w:tcPr>
            <w:tcW w:w="1276" w:type="dxa"/>
            <w:noWrap/>
          </w:tcPr>
          <w:p w:rsidR="003C695F" w:rsidRPr="00B564A5" w:rsidRDefault="003C695F" w:rsidP="00F7564D">
            <w:r w:rsidRPr="00B564A5">
              <w:t>342596.41</w:t>
            </w:r>
          </w:p>
        </w:tc>
        <w:tc>
          <w:tcPr>
            <w:tcW w:w="1356" w:type="dxa"/>
            <w:noWrap/>
          </w:tcPr>
          <w:p w:rsidR="003C695F" w:rsidRPr="00B564A5" w:rsidRDefault="003C695F" w:rsidP="00F7564D">
            <w:r w:rsidRPr="00B564A5">
              <w:t>939429.89</w:t>
            </w:r>
          </w:p>
        </w:tc>
      </w:tr>
      <w:tr w:rsidR="003C695F" w:rsidRPr="00D07899" w:rsidTr="006A0435">
        <w:trPr>
          <w:trHeight w:val="315"/>
          <w:jc w:val="center"/>
        </w:trPr>
        <w:tc>
          <w:tcPr>
            <w:tcW w:w="1284" w:type="dxa"/>
          </w:tcPr>
          <w:p w:rsidR="003C695F" w:rsidRPr="00B564A5" w:rsidRDefault="003C695F" w:rsidP="00F7564D">
            <w:r w:rsidRPr="00B564A5">
              <w:t>4</w:t>
            </w:r>
          </w:p>
        </w:tc>
        <w:tc>
          <w:tcPr>
            <w:tcW w:w="1276" w:type="dxa"/>
            <w:noWrap/>
          </w:tcPr>
          <w:p w:rsidR="003C695F" w:rsidRPr="00B564A5" w:rsidRDefault="003C695F" w:rsidP="00F7564D">
            <w:r w:rsidRPr="00B564A5">
              <w:t>342589.47</w:t>
            </w:r>
          </w:p>
        </w:tc>
        <w:tc>
          <w:tcPr>
            <w:tcW w:w="1356" w:type="dxa"/>
            <w:noWrap/>
          </w:tcPr>
          <w:p w:rsidR="003C695F" w:rsidRPr="00B564A5" w:rsidRDefault="003C695F" w:rsidP="00F7564D">
            <w:r w:rsidRPr="00B564A5">
              <w:t>939406.81</w:t>
            </w:r>
          </w:p>
        </w:tc>
      </w:tr>
      <w:tr w:rsidR="003C695F" w:rsidRPr="00D07899" w:rsidTr="006A0435">
        <w:trPr>
          <w:trHeight w:val="315"/>
          <w:jc w:val="center"/>
        </w:trPr>
        <w:tc>
          <w:tcPr>
            <w:tcW w:w="1284" w:type="dxa"/>
          </w:tcPr>
          <w:p w:rsidR="003C695F" w:rsidRPr="00B564A5" w:rsidRDefault="003C695F" w:rsidP="00F7564D">
            <w:r>
              <w:t>5</w:t>
            </w:r>
          </w:p>
        </w:tc>
        <w:tc>
          <w:tcPr>
            <w:tcW w:w="1276" w:type="dxa"/>
            <w:noWrap/>
          </w:tcPr>
          <w:p w:rsidR="003C695F" w:rsidRPr="00B564A5" w:rsidRDefault="003C695F" w:rsidP="00F7564D">
            <w:r w:rsidRPr="00B564A5">
              <w:t>342573.91</w:t>
            </w:r>
          </w:p>
        </w:tc>
        <w:tc>
          <w:tcPr>
            <w:tcW w:w="1356" w:type="dxa"/>
            <w:noWrap/>
          </w:tcPr>
          <w:p w:rsidR="003C695F" w:rsidRPr="00B564A5" w:rsidRDefault="003C695F" w:rsidP="00F7564D">
            <w:r w:rsidRPr="00B564A5">
              <w:t>939394.45</w:t>
            </w:r>
          </w:p>
        </w:tc>
      </w:tr>
      <w:tr w:rsidR="003C695F" w:rsidRPr="00D07899" w:rsidTr="006A0435">
        <w:trPr>
          <w:trHeight w:val="315"/>
          <w:jc w:val="center"/>
        </w:trPr>
        <w:tc>
          <w:tcPr>
            <w:tcW w:w="1284" w:type="dxa"/>
          </w:tcPr>
          <w:p w:rsidR="003C695F" w:rsidRPr="00B564A5" w:rsidRDefault="003C695F" w:rsidP="00F7564D">
            <w:r w:rsidRPr="00B564A5">
              <w:t>6</w:t>
            </w:r>
          </w:p>
        </w:tc>
        <w:tc>
          <w:tcPr>
            <w:tcW w:w="1276" w:type="dxa"/>
            <w:noWrap/>
          </w:tcPr>
          <w:p w:rsidR="003C695F" w:rsidRPr="00B564A5" w:rsidRDefault="003C695F" w:rsidP="00F7564D">
            <w:r w:rsidRPr="00B564A5">
              <w:t>342563.24</w:t>
            </w:r>
          </w:p>
        </w:tc>
        <w:tc>
          <w:tcPr>
            <w:tcW w:w="1356" w:type="dxa"/>
            <w:noWrap/>
          </w:tcPr>
          <w:p w:rsidR="003C695F" w:rsidRPr="00B564A5" w:rsidRDefault="003C695F" w:rsidP="00F7564D">
            <w:r w:rsidRPr="00B564A5">
              <w:t>939380.60</w:t>
            </w:r>
          </w:p>
        </w:tc>
      </w:tr>
      <w:tr w:rsidR="003C695F" w:rsidRPr="00D07899" w:rsidTr="006A0435">
        <w:trPr>
          <w:trHeight w:val="315"/>
          <w:jc w:val="center"/>
        </w:trPr>
        <w:tc>
          <w:tcPr>
            <w:tcW w:w="1284" w:type="dxa"/>
          </w:tcPr>
          <w:p w:rsidR="003C695F" w:rsidRPr="00B564A5" w:rsidRDefault="003C695F" w:rsidP="00F7564D">
            <w:r w:rsidRPr="00B564A5">
              <w:t>7</w:t>
            </w:r>
          </w:p>
        </w:tc>
        <w:tc>
          <w:tcPr>
            <w:tcW w:w="1276" w:type="dxa"/>
            <w:noWrap/>
          </w:tcPr>
          <w:p w:rsidR="003C695F" w:rsidRPr="00B564A5" w:rsidRDefault="003C695F" w:rsidP="00F7564D">
            <w:r w:rsidRPr="00B564A5">
              <w:t>342539.81</w:t>
            </w:r>
          </w:p>
        </w:tc>
        <w:tc>
          <w:tcPr>
            <w:tcW w:w="1356" w:type="dxa"/>
            <w:noWrap/>
          </w:tcPr>
          <w:p w:rsidR="003C695F" w:rsidRDefault="003C695F" w:rsidP="00F7564D">
            <w:r w:rsidRPr="00B564A5">
              <w:t>939358.48</w:t>
            </w:r>
          </w:p>
        </w:tc>
      </w:tr>
    </w:tbl>
    <w:p w:rsidR="00DC3629" w:rsidRPr="00E245BA" w:rsidRDefault="00DC3629" w:rsidP="00E245BA">
      <w:pPr>
        <w:spacing w:after="240" w:line="276" w:lineRule="auto"/>
        <w:jc w:val="both"/>
        <w:rPr>
          <w:bCs/>
        </w:rPr>
      </w:pPr>
    </w:p>
    <w:p w:rsidR="0086245C" w:rsidRPr="00E245BA" w:rsidRDefault="002B3E6D" w:rsidP="00E245BA">
      <w:pPr>
        <w:spacing w:after="240" w:line="276" w:lineRule="auto"/>
        <w:jc w:val="both"/>
        <w:rPr>
          <w:color w:val="000000"/>
        </w:rPr>
      </w:pPr>
      <w:r w:rsidRPr="00E245BA">
        <w:rPr>
          <w:color w:val="000000"/>
        </w:rPr>
        <w:lastRenderedPageBreak/>
        <w:t>Que m</w:t>
      </w:r>
      <w:r w:rsidR="007C6D53" w:rsidRPr="00E245BA">
        <w:rPr>
          <w:color w:val="000000"/>
        </w:rPr>
        <w:t xml:space="preserve">ediante </w:t>
      </w:r>
      <w:r w:rsidR="003226BA" w:rsidRPr="00E245BA">
        <w:rPr>
          <w:color w:val="000000"/>
        </w:rPr>
        <w:t>el</w:t>
      </w:r>
      <w:r w:rsidR="007C6D53" w:rsidRPr="00E245BA">
        <w:rPr>
          <w:color w:val="000000"/>
        </w:rPr>
        <w:t xml:space="preserve"> </w:t>
      </w:r>
      <w:r w:rsidR="007C6D53" w:rsidRPr="00E245BA">
        <w:rPr>
          <w:b/>
          <w:color w:val="000000"/>
        </w:rPr>
        <w:t>PROVEÍDO DRCH-IA-ADM-</w:t>
      </w:r>
      <w:r w:rsidR="00D07899">
        <w:rPr>
          <w:b/>
        </w:rPr>
        <w:t>104-2019</w:t>
      </w:r>
      <w:r w:rsidR="007C6D53" w:rsidRPr="00E245BA">
        <w:rPr>
          <w:color w:val="000000"/>
        </w:rPr>
        <w:t>, de</w:t>
      </w:r>
      <w:r w:rsidR="00DD6583" w:rsidRPr="00E245BA">
        <w:rPr>
          <w:color w:val="000000"/>
        </w:rPr>
        <w:t>l</w:t>
      </w:r>
      <w:r w:rsidR="007C6D53" w:rsidRPr="00E245BA">
        <w:rPr>
          <w:color w:val="000000"/>
        </w:rPr>
        <w:t xml:space="preserve"> </w:t>
      </w:r>
      <w:r w:rsidR="00D07899">
        <w:rPr>
          <w:color w:val="000000"/>
        </w:rPr>
        <w:t>9 de septiembre</w:t>
      </w:r>
      <w:r w:rsidR="00F654A3">
        <w:rPr>
          <w:color w:val="000000"/>
        </w:rPr>
        <w:t xml:space="preserve"> de 2019</w:t>
      </w:r>
      <w:r w:rsidR="007C6D53" w:rsidRPr="00E245BA">
        <w:rPr>
          <w:color w:val="000000"/>
        </w:rPr>
        <w:t>, (visible en e</w:t>
      </w:r>
      <w:r w:rsidR="00D810E9">
        <w:rPr>
          <w:color w:val="000000"/>
        </w:rPr>
        <w:t>l expediente administrativo), Mi</w:t>
      </w:r>
      <w:r w:rsidR="007C6D53" w:rsidRPr="00E245BA">
        <w:rPr>
          <w:color w:val="000000"/>
        </w:rPr>
        <w:t xml:space="preserve">AMBIENTE admite a la fase de evaluación y análisis el Estudio de Impacto Ambiental, Categoría I, del proyecto denominado </w:t>
      </w:r>
      <w:r w:rsidR="007C6D53" w:rsidRPr="00E245BA">
        <w:rPr>
          <w:b/>
          <w:bCs/>
        </w:rPr>
        <w:t>“</w:t>
      </w:r>
      <w:r w:rsidR="001014B3">
        <w:rPr>
          <w:b/>
          <w:bCs/>
        </w:rPr>
        <w:t xml:space="preserve">URBANIZACIÓN </w:t>
      </w:r>
      <w:r w:rsidR="00D07899">
        <w:rPr>
          <w:b/>
          <w:bCs/>
        </w:rPr>
        <w:t>VILLA VERDE</w:t>
      </w:r>
      <w:r w:rsidR="007C6D53" w:rsidRPr="00E245BA">
        <w:rPr>
          <w:b/>
        </w:rPr>
        <w:t>”</w:t>
      </w:r>
      <w:r w:rsidR="007C6D53" w:rsidRPr="00E245BA">
        <w:rPr>
          <w:color w:val="000000"/>
        </w:rPr>
        <w:t xml:space="preserve">, </w:t>
      </w:r>
      <w:r w:rsidRPr="00E245BA">
        <w:rPr>
          <w:color w:val="000000"/>
        </w:rPr>
        <w:t xml:space="preserve">y </w:t>
      </w:r>
      <w:r w:rsidR="007C6D53" w:rsidRPr="00E245BA">
        <w:rPr>
          <w:color w:val="000000"/>
        </w:rPr>
        <w:t>en virtud de lo establecido para tales efectos en el Decreto Ejecutivo No. 123 de 14 de agosto de 2009, modificado por el Decreto Ejecutivo No. 155 de 5 de agosto de 2011</w:t>
      </w:r>
      <w:r w:rsidR="006942AE">
        <w:rPr>
          <w:color w:val="000000"/>
        </w:rPr>
        <w:t>y el Decreto Ejecutivo 36 del 3 de junio de 2019</w:t>
      </w:r>
      <w:r w:rsidRPr="00E245BA">
        <w:rPr>
          <w:color w:val="000000"/>
        </w:rPr>
        <w:t>, se surtió el proceso de evaluación del referido Estudio de Impacto Ambiental, tal como consta e</w:t>
      </w:r>
      <w:r w:rsidR="00D13F4A">
        <w:rPr>
          <w:color w:val="000000"/>
        </w:rPr>
        <w:t>n el expediente correspondiente;</w:t>
      </w:r>
    </w:p>
    <w:p w:rsidR="00F012A6" w:rsidRDefault="00515073" w:rsidP="00E245BA">
      <w:pPr>
        <w:spacing w:after="240" w:line="276" w:lineRule="auto"/>
        <w:jc w:val="both"/>
        <w:outlineLvl w:val="1"/>
        <w:rPr>
          <w:color w:val="000000" w:themeColor="text1"/>
          <w:spacing w:val="-3"/>
        </w:rPr>
      </w:pPr>
      <w:r w:rsidRPr="00E245BA">
        <w:rPr>
          <w:color w:val="000000" w:themeColor="text1"/>
          <w:spacing w:val="-3"/>
        </w:rPr>
        <w:t xml:space="preserve">Como parte del proceso de evaluación, se verifico las coordenadas presentadas en el Estudio de Impacto Ambiental en la </w:t>
      </w:r>
      <w:r w:rsidR="00CA4745" w:rsidRPr="00E245BA">
        <w:rPr>
          <w:color w:val="000000" w:themeColor="text1"/>
          <w:spacing w:val="-3"/>
        </w:rPr>
        <w:t>Dirección</w:t>
      </w:r>
      <w:r w:rsidRPr="00E245BA">
        <w:rPr>
          <w:color w:val="000000" w:themeColor="text1"/>
          <w:spacing w:val="-3"/>
        </w:rPr>
        <w:t xml:space="preserve"> de </w:t>
      </w:r>
      <w:r w:rsidR="00CA4745" w:rsidRPr="00E245BA">
        <w:rPr>
          <w:color w:val="000000" w:themeColor="text1"/>
          <w:spacing w:val="-3"/>
        </w:rPr>
        <w:t>Evaluación</w:t>
      </w:r>
      <w:r w:rsidRPr="00E245BA">
        <w:rPr>
          <w:color w:val="000000" w:themeColor="text1"/>
          <w:spacing w:val="-3"/>
        </w:rPr>
        <w:t xml:space="preserve"> </w:t>
      </w:r>
      <w:r w:rsidR="00162A67">
        <w:rPr>
          <w:color w:val="000000" w:themeColor="text1"/>
          <w:spacing w:val="-3"/>
        </w:rPr>
        <w:t>de Impacto</w:t>
      </w:r>
      <w:r w:rsidRPr="00E245BA">
        <w:rPr>
          <w:color w:val="000000" w:themeColor="text1"/>
          <w:spacing w:val="-3"/>
        </w:rPr>
        <w:t xml:space="preserve"> Ambiental, la cual se </w:t>
      </w:r>
      <w:r w:rsidR="00D771A1" w:rsidRPr="00E245BA">
        <w:rPr>
          <w:color w:val="000000" w:themeColor="text1"/>
          <w:spacing w:val="-3"/>
        </w:rPr>
        <w:t>envió</w:t>
      </w:r>
      <w:r w:rsidRPr="00E245BA">
        <w:rPr>
          <w:color w:val="000000" w:themeColor="text1"/>
          <w:spacing w:val="-3"/>
        </w:rPr>
        <w:t xml:space="preserve"> para verificación el </w:t>
      </w:r>
      <w:r w:rsidR="00CA4745" w:rsidRPr="00E245BA">
        <w:rPr>
          <w:color w:val="000000" w:themeColor="text1"/>
          <w:spacing w:val="-3"/>
        </w:rPr>
        <w:t xml:space="preserve">día </w:t>
      </w:r>
      <w:r w:rsidR="00D07899">
        <w:rPr>
          <w:color w:val="000000" w:themeColor="text1"/>
          <w:spacing w:val="-3"/>
        </w:rPr>
        <w:t>25 de septiembre</w:t>
      </w:r>
      <w:r w:rsidR="006D77B8">
        <w:rPr>
          <w:color w:val="000000" w:themeColor="text1"/>
          <w:spacing w:val="-3"/>
        </w:rPr>
        <w:t xml:space="preserve"> de 2019</w:t>
      </w:r>
      <w:r w:rsidR="00CA4745" w:rsidRPr="00E245BA">
        <w:rPr>
          <w:color w:val="000000" w:themeColor="text1"/>
          <w:spacing w:val="-3"/>
        </w:rPr>
        <w:t xml:space="preserve">; en tanto que </w:t>
      </w:r>
      <w:r w:rsidR="00162A67">
        <w:rPr>
          <w:color w:val="000000" w:themeColor="text1"/>
          <w:spacing w:val="-3"/>
        </w:rPr>
        <w:t>la Dirección de Evaluación de Impacto Ambiental</w:t>
      </w:r>
      <w:r w:rsidR="00CA4745" w:rsidRPr="00E245BA">
        <w:rPr>
          <w:color w:val="000000" w:themeColor="text1"/>
          <w:spacing w:val="-3"/>
        </w:rPr>
        <w:t xml:space="preserve"> emitió sus comentarios el día </w:t>
      </w:r>
      <w:r w:rsidR="00D07899">
        <w:rPr>
          <w:color w:val="000000" w:themeColor="text1"/>
          <w:spacing w:val="-3"/>
        </w:rPr>
        <w:t>25 de septiembre</w:t>
      </w:r>
      <w:r w:rsidR="006D77B8">
        <w:rPr>
          <w:color w:val="000000" w:themeColor="text1"/>
          <w:spacing w:val="-3"/>
        </w:rPr>
        <w:t xml:space="preserve"> de 2019</w:t>
      </w:r>
      <w:r w:rsidR="008429F3" w:rsidRPr="00E245BA">
        <w:rPr>
          <w:color w:val="000000" w:themeColor="text1"/>
          <w:spacing w:val="-3"/>
        </w:rPr>
        <w:t xml:space="preserve"> (ver </w:t>
      </w:r>
      <w:r w:rsidR="00106EDC" w:rsidRPr="00E245BA">
        <w:rPr>
          <w:color w:val="000000" w:themeColor="text1"/>
          <w:spacing w:val="-3"/>
        </w:rPr>
        <w:t>el expediente administrativo correspondiente)</w:t>
      </w:r>
      <w:r w:rsidR="00D13F4A">
        <w:rPr>
          <w:color w:val="000000" w:themeColor="text1"/>
          <w:spacing w:val="-3"/>
        </w:rPr>
        <w:t>;</w:t>
      </w:r>
      <w:r w:rsidR="00F074CC" w:rsidRPr="00E245BA">
        <w:rPr>
          <w:color w:val="000000" w:themeColor="text1"/>
          <w:spacing w:val="-3"/>
        </w:rPr>
        <w:t xml:space="preserve"> </w:t>
      </w:r>
    </w:p>
    <w:p w:rsidR="00FF0B07" w:rsidRDefault="00FF0B07" w:rsidP="00E245BA">
      <w:pPr>
        <w:spacing w:after="240" w:line="276" w:lineRule="auto"/>
        <w:jc w:val="both"/>
        <w:outlineLvl w:val="1"/>
        <w:rPr>
          <w:color w:val="000000" w:themeColor="text1"/>
          <w:spacing w:val="-3"/>
        </w:rPr>
      </w:pPr>
      <w:r>
        <w:rPr>
          <w:color w:val="000000" w:themeColor="text1"/>
          <w:spacing w:val="-3"/>
        </w:rPr>
        <w:t xml:space="preserve">Que el </w:t>
      </w:r>
      <w:r w:rsidR="001F1A9C">
        <w:rPr>
          <w:color w:val="000000" w:themeColor="text1"/>
          <w:spacing w:val="-3"/>
        </w:rPr>
        <w:t>día</w:t>
      </w:r>
      <w:r>
        <w:rPr>
          <w:color w:val="000000" w:themeColor="text1"/>
          <w:spacing w:val="-3"/>
        </w:rPr>
        <w:t xml:space="preserve"> </w:t>
      </w:r>
      <w:r w:rsidR="00D07899">
        <w:rPr>
          <w:color w:val="000000" w:themeColor="text1"/>
          <w:spacing w:val="-3"/>
        </w:rPr>
        <w:t>1 de octubre</w:t>
      </w:r>
      <w:r w:rsidR="006D77B8">
        <w:rPr>
          <w:color w:val="000000" w:themeColor="text1"/>
          <w:spacing w:val="-3"/>
        </w:rPr>
        <w:t xml:space="preserve"> de 2019</w:t>
      </w:r>
      <w:r>
        <w:rPr>
          <w:color w:val="000000" w:themeColor="text1"/>
          <w:spacing w:val="-3"/>
        </w:rPr>
        <w:t xml:space="preserve">, se </w:t>
      </w:r>
      <w:r w:rsidR="001F1A9C">
        <w:rPr>
          <w:color w:val="000000" w:themeColor="text1"/>
          <w:spacing w:val="-3"/>
        </w:rPr>
        <w:t>realizó</w:t>
      </w:r>
      <w:r>
        <w:rPr>
          <w:color w:val="000000" w:themeColor="text1"/>
          <w:spacing w:val="-3"/>
        </w:rPr>
        <w:t xml:space="preserve"> inspección al </w:t>
      </w:r>
      <w:r w:rsidR="001F1A9C">
        <w:rPr>
          <w:color w:val="000000" w:themeColor="text1"/>
          <w:spacing w:val="-3"/>
        </w:rPr>
        <w:t>área</w:t>
      </w:r>
      <w:r>
        <w:rPr>
          <w:color w:val="000000" w:themeColor="text1"/>
          <w:spacing w:val="-3"/>
        </w:rPr>
        <w:t xml:space="preserve"> propuesta para el desarrollo del proyecto, por parte del personal técnico de la </w:t>
      </w:r>
      <w:r w:rsidR="001F1A9C">
        <w:rPr>
          <w:color w:val="000000" w:themeColor="text1"/>
          <w:spacing w:val="-3"/>
        </w:rPr>
        <w:t>Sección</w:t>
      </w:r>
      <w:r>
        <w:rPr>
          <w:color w:val="000000" w:themeColor="text1"/>
          <w:spacing w:val="-3"/>
        </w:rPr>
        <w:t xml:space="preserve"> de </w:t>
      </w:r>
      <w:r w:rsidR="001F1A9C">
        <w:rPr>
          <w:color w:val="000000" w:themeColor="text1"/>
          <w:spacing w:val="-3"/>
        </w:rPr>
        <w:t>Evaluación</w:t>
      </w:r>
      <w:r>
        <w:rPr>
          <w:color w:val="000000" w:themeColor="text1"/>
          <w:spacing w:val="-3"/>
        </w:rPr>
        <w:t xml:space="preserve"> de Impacto Ambiental del Ministerio de Ambiente – Regional de </w:t>
      </w:r>
      <w:r w:rsidR="001F1A9C">
        <w:rPr>
          <w:color w:val="000000" w:themeColor="text1"/>
          <w:spacing w:val="-3"/>
        </w:rPr>
        <w:t>Chiriquí</w:t>
      </w:r>
      <w:r w:rsidR="00D07899">
        <w:rPr>
          <w:color w:val="000000" w:themeColor="text1"/>
          <w:spacing w:val="-3"/>
        </w:rPr>
        <w:t xml:space="preserve"> en conjunto con la Sección de Seguridad Hídrica</w:t>
      </w:r>
      <w:r>
        <w:rPr>
          <w:color w:val="000000" w:themeColor="text1"/>
          <w:spacing w:val="-3"/>
        </w:rPr>
        <w:t>,</w:t>
      </w:r>
    </w:p>
    <w:p w:rsidR="00905E6E" w:rsidRDefault="00905E6E" w:rsidP="00905E6E">
      <w:pPr>
        <w:spacing w:after="240" w:line="276" w:lineRule="auto"/>
        <w:jc w:val="both"/>
        <w:outlineLvl w:val="1"/>
        <w:rPr>
          <w:color w:val="000000" w:themeColor="text1"/>
          <w:spacing w:val="-3"/>
        </w:rPr>
      </w:pPr>
      <w:r>
        <w:rPr>
          <w:color w:val="000000" w:themeColor="text1"/>
          <w:spacing w:val="-3"/>
        </w:rPr>
        <w:t xml:space="preserve">Que el día </w:t>
      </w:r>
      <w:r>
        <w:rPr>
          <w:color w:val="000000" w:themeColor="text1"/>
          <w:spacing w:val="-3"/>
          <w:lang w:val="es-PA"/>
        </w:rPr>
        <w:t>3 de octubre</w:t>
      </w:r>
      <w:r w:rsidRPr="001B7DDE">
        <w:rPr>
          <w:color w:val="000000" w:themeColor="text1"/>
          <w:spacing w:val="-3"/>
          <w:lang w:val="es-PA"/>
        </w:rPr>
        <w:t xml:space="preserve"> </w:t>
      </w:r>
      <w:r w:rsidRPr="00B42838">
        <w:rPr>
          <w:color w:val="000000" w:themeColor="text1"/>
          <w:spacing w:val="-3"/>
          <w:lang w:val="es-PA"/>
        </w:rPr>
        <w:t>de 2019</w:t>
      </w:r>
      <w:r>
        <w:rPr>
          <w:color w:val="000000" w:themeColor="text1"/>
          <w:spacing w:val="-3"/>
        </w:rPr>
        <w:t xml:space="preserve">, se emite la </w:t>
      </w:r>
      <w:r w:rsidRPr="00B42838">
        <w:rPr>
          <w:b/>
          <w:color w:val="000000" w:themeColor="text1"/>
          <w:spacing w:val="-3"/>
          <w:lang w:val="es-PA"/>
        </w:rPr>
        <w:t>NOTA-DRCH-AC-</w:t>
      </w:r>
      <w:r w:rsidRPr="00905E6E">
        <w:rPr>
          <w:b/>
          <w:color w:val="000000" w:themeColor="text1"/>
          <w:spacing w:val="-3"/>
          <w:lang w:val="es-PA"/>
        </w:rPr>
        <w:t>1577-10-2019</w:t>
      </w:r>
      <w:r>
        <w:rPr>
          <w:color w:val="000000" w:themeColor="text1"/>
          <w:spacing w:val="-3"/>
        </w:rPr>
        <w:t xml:space="preserve">, en la cual se le solicita al promotor del proyecto, información aclaratoria al Estudio de Impacto Ambiental (EsIA), Categoría I, titulado </w:t>
      </w:r>
      <w:r>
        <w:rPr>
          <w:color w:val="000000" w:themeColor="text1"/>
          <w:spacing w:val="-3"/>
        </w:rPr>
        <w:t>URBANIZACIÓN VILLA VERDE</w:t>
      </w:r>
      <w:r>
        <w:rPr>
          <w:color w:val="000000" w:themeColor="text1"/>
          <w:spacing w:val="-3"/>
        </w:rPr>
        <w:t xml:space="preserve">; notificándose así el Representante Legal de la empresa promotora el </w:t>
      </w:r>
      <w:r>
        <w:rPr>
          <w:color w:val="000000" w:themeColor="text1"/>
          <w:spacing w:val="-3"/>
        </w:rPr>
        <w:t>14 de octubre</w:t>
      </w:r>
      <w:r>
        <w:rPr>
          <w:color w:val="000000" w:themeColor="text1"/>
          <w:spacing w:val="-3"/>
        </w:rPr>
        <w:t xml:space="preserve">  de 2019,</w:t>
      </w:r>
    </w:p>
    <w:p w:rsidR="00905E6E" w:rsidRDefault="00905E6E" w:rsidP="00905E6E">
      <w:pPr>
        <w:spacing w:after="240" w:line="276" w:lineRule="auto"/>
        <w:jc w:val="both"/>
        <w:outlineLvl w:val="1"/>
        <w:rPr>
          <w:color w:val="000000" w:themeColor="text1"/>
          <w:spacing w:val="-3"/>
        </w:rPr>
      </w:pPr>
      <w:r>
        <w:rPr>
          <w:color w:val="000000" w:themeColor="text1"/>
          <w:spacing w:val="-3"/>
        </w:rPr>
        <w:t xml:space="preserve">Que el día </w:t>
      </w:r>
      <w:r>
        <w:rPr>
          <w:color w:val="000000" w:themeColor="text1"/>
          <w:spacing w:val="-3"/>
        </w:rPr>
        <w:t>16</w:t>
      </w:r>
      <w:r>
        <w:rPr>
          <w:color w:val="000000" w:themeColor="text1"/>
          <w:spacing w:val="-3"/>
        </w:rPr>
        <w:t xml:space="preserve"> de octubre de 2019, la empresa promotora del proyecto en mención, presenta las respuestas a la </w:t>
      </w:r>
      <w:r w:rsidRPr="00B42838">
        <w:rPr>
          <w:b/>
          <w:color w:val="000000" w:themeColor="text1"/>
          <w:spacing w:val="-3"/>
          <w:lang w:val="es-PA"/>
        </w:rPr>
        <w:t>NOTA-DRCH-AC-</w:t>
      </w:r>
      <w:r w:rsidRPr="00905E6E">
        <w:rPr>
          <w:b/>
          <w:color w:val="000000" w:themeColor="text1"/>
          <w:spacing w:val="-3"/>
          <w:lang w:val="es-PA"/>
        </w:rPr>
        <w:t>1577-10</w:t>
      </w:r>
      <w:r w:rsidRPr="002A6E11">
        <w:rPr>
          <w:b/>
          <w:color w:val="000000" w:themeColor="text1"/>
          <w:spacing w:val="-3"/>
          <w:lang w:val="es-PA"/>
        </w:rPr>
        <w:t>-2019</w:t>
      </w:r>
      <w:r>
        <w:rPr>
          <w:color w:val="000000" w:themeColor="text1"/>
          <w:spacing w:val="-3"/>
        </w:rPr>
        <w:t xml:space="preserve">, a través de la </w:t>
      </w:r>
      <w:r w:rsidRPr="00DB45CC">
        <w:t>Plataforma en línea</w:t>
      </w:r>
      <w:r>
        <w:t xml:space="preserve"> (PREFASIA)</w:t>
      </w:r>
    </w:p>
    <w:p w:rsidR="00905E6E" w:rsidRDefault="00905E6E" w:rsidP="00E245BA">
      <w:pPr>
        <w:spacing w:after="240" w:line="276" w:lineRule="auto"/>
        <w:jc w:val="both"/>
        <w:outlineLvl w:val="1"/>
        <w:rPr>
          <w:color w:val="000000" w:themeColor="text1"/>
          <w:spacing w:val="-3"/>
        </w:rPr>
      </w:pPr>
    </w:p>
    <w:p w:rsidR="0086245C" w:rsidRPr="00E245BA" w:rsidRDefault="007C6D53" w:rsidP="00E245BA">
      <w:pPr>
        <w:numPr>
          <w:ilvl w:val="0"/>
          <w:numId w:val="1"/>
        </w:numPr>
        <w:tabs>
          <w:tab w:val="left" w:pos="-1890"/>
        </w:tabs>
        <w:autoSpaceDE w:val="0"/>
        <w:autoSpaceDN w:val="0"/>
        <w:adjustRightInd w:val="0"/>
        <w:spacing w:after="240" w:line="276" w:lineRule="auto"/>
        <w:ind w:left="360"/>
        <w:jc w:val="both"/>
        <w:rPr>
          <w:b/>
        </w:rPr>
      </w:pPr>
      <w:r w:rsidRPr="00E245BA">
        <w:rPr>
          <w:b/>
        </w:rPr>
        <w:t>ANÁLISIS TÉCNICO</w:t>
      </w:r>
    </w:p>
    <w:p w:rsidR="00625749" w:rsidRPr="00E245BA" w:rsidRDefault="007C6D53" w:rsidP="00E245BA">
      <w:pPr>
        <w:spacing w:after="240" w:line="276" w:lineRule="auto"/>
        <w:jc w:val="both"/>
        <w:rPr>
          <w:color w:val="000000"/>
        </w:rPr>
      </w:pPr>
      <w:r w:rsidRPr="00E245BA">
        <w:t xml:space="preserve">Después de la revisión y análisis del EsIA y cada uno de sus componentes ambientales, así como su Plan de Manejo Ambiental, pasamos a revisar </w:t>
      </w:r>
      <w:r w:rsidRPr="00E245BA">
        <w:rPr>
          <w:color w:val="000000"/>
        </w:rPr>
        <w:t>algunos aspectos destacables en el proceso de evaluación del Estudio.</w:t>
      </w:r>
    </w:p>
    <w:p w:rsidR="0086245C" w:rsidRPr="00E245BA" w:rsidRDefault="007C6D53" w:rsidP="00E245BA">
      <w:pPr>
        <w:autoSpaceDE w:val="0"/>
        <w:autoSpaceDN w:val="0"/>
        <w:adjustRightInd w:val="0"/>
        <w:spacing w:after="240" w:line="276" w:lineRule="auto"/>
        <w:jc w:val="both"/>
        <w:rPr>
          <w:b/>
        </w:rPr>
      </w:pPr>
      <w:r w:rsidRPr="00E245BA">
        <w:rPr>
          <w:b/>
        </w:rPr>
        <w:t xml:space="preserve">Componente físico: </w:t>
      </w:r>
    </w:p>
    <w:p w:rsidR="0086245C" w:rsidRPr="00E245BA" w:rsidRDefault="007C6D53" w:rsidP="00E245BA">
      <w:pPr>
        <w:autoSpaceDE w:val="0"/>
        <w:autoSpaceDN w:val="0"/>
        <w:adjustRightInd w:val="0"/>
        <w:spacing w:after="240" w:line="276" w:lineRule="auto"/>
        <w:jc w:val="both"/>
      </w:pPr>
      <w:r w:rsidRPr="00E245BA">
        <w:t xml:space="preserve">El EsIA, presentado por la empresa promotora, describe lo siguiente, respecto al ambiente físico del área donde se desarrollara el proyecto: </w:t>
      </w:r>
    </w:p>
    <w:p w:rsidR="00880C55" w:rsidRPr="00880C55" w:rsidRDefault="00764E91" w:rsidP="00880C55">
      <w:pPr>
        <w:pStyle w:val="Prrafodelista1"/>
        <w:numPr>
          <w:ilvl w:val="0"/>
          <w:numId w:val="2"/>
        </w:numPr>
        <w:autoSpaceDE w:val="0"/>
        <w:autoSpaceDN w:val="0"/>
        <w:adjustRightInd w:val="0"/>
        <w:spacing w:after="240"/>
        <w:jc w:val="both"/>
        <w:rPr>
          <w:rFonts w:ascii="Times New Roman" w:hAnsi="Times New Roman"/>
          <w:color w:val="000000"/>
          <w:sz w:val="24"/>
          <w:szCs w:val="24"/>
        </w:rPr>
      </w:pPr>
      <w:r w:rsidRPr="00880C55">
        <w:rPr>
          <w:rFonts w:ascii="Times New Roman" w:hAnsi="Times New Roman"/>
          <w:color w:val="000000"/>
          <w:sz w:val="24"/>
          <w:szCs w:val="24"/>
          <w:lang w:val="es-ES"/>
        </w:rPr>
        <w:t xml:space="preserve">En cuanto a la topografía del terreno, </w:t>
      </w:r>
      <w:r w:rsidR="008D5CED" w:rsidRPr="00880C55">
        <w:rPr>
          <w:rFonts w:ascii="Times New Roman" w:hAnsi="Times New Roman"/>
          <w:color w:val="000000"/>
          <w:sz w:val="24"/>
          <w:szCs w:val="24"/>
          <w:lang w:val="es-ES"/>
        </w:rPr>
        <w:t xml:space="preserve">se describe que el terreno </w:t>
      </w:r>
      <w:r w:rsidR="0022132F" w:rsidRPr="00880C55">
        <w:rPr>
          <w:rFonts w:ascii="Times New Roman" w:hAnsi="Times New Roman"/>
          <w:color w:val="000000"/>
          <w:sz w:val="24"/>
          <w:szCs w:val="24"/>
          <w:lang w:val="es-ES"/>
        </w:rPr>
        <w:t xml:space="preserve">presenta </w:t>
      </w:r>
      <w:r w:rsidR="00880C55" w:rsidRPr="00880C55">
        <w:rPr>
          <w:rFonts w:ascii="Times New Roman" w:hAnsi="Times New Roman"/>
          <w:color w:val="000000"/>
          <w:sz w:val="24"/>
          <w:szCs w:val="24"/>
          <w:lang w:val="es-ES"/>
        </w:rPr>
        <w:t>forma irregular</w:t>
      </w:r>
      <w:r w:rsidR="00880C55">
        <w:rPr>
          <w:rFonts w:ascii="Times New Roman" w:hAnsi="Times New Roman"/>
          <w:color w:val="000000"/>
          <w:sz w:val="24"/>
          <w:szCs w:val="24"/>
          <w:lang w:val="es-ES"/>
        </w:rPr>
        <w:t>,</w:t>
      </w:r>
      <w:r w:rsidR="00880C55" w:rsidRPr="00880C55">
        <w:rPr>
          <w:rFonts w:ascii="Times New Roman" w:hAnsi="Times New Roman"/>
          <w:color w:val="000000"/>
          <w:sz w:val="24"/>
          <w:szCs w:val="24"/>
          <w:lang w:val="es-ES"/>
        </w:rPr>
        <w:t xml:space="preserve"> </w:t>
      </w:r>
    </w:p>
    <w:p w:rsidR="00880C55" w:rsidRPr="00880C55" w:rsidRDefault="008D5CED" w:rsidP="00880C55">
      <w:pPr>
        <w:pStyle w:val="Prrafodelista1"/>
        <w:numPr>
          <w:ilvl w:val="0"/>
          <w:numId w:val="2"/>
        </w:numPr>
        <w:autoSpaceDE w:val="0"/>
        <w:autoSpaceDN w:val="0"/>
        <w:adjustRightInd w:val="0"/>
        <w:spacing w:after="240"/>
        <w:jc w:val="both"/>
        <w:rPr>
          <w:rFonts w:ascii="Times New Roman" w:hAnsi="Times New Roman"/>
          <w:color w:val="000000"/>
          <w:sz w:val="24"/>
          <w:szCs w:val="24"/>
        </w:rPr>
      </w:pPr>
      <w:r w:rsidRPr="00880C55">
        <w:rPr>
          <w:rFonts w:ascii="Times New Roman" w:hAnsi="Times New Roman"/>
          <w:color w:val="000000"/>
          <w:sz w:val="24"/>
          <w:szCs w:val="24"/>
        </w:rPr>
        <w:t xml:space="preserve">Con relación al aspecto hidrológico, se hace mención que </w:t>
      </w:r>
      <w:r w:rsidR="0022132F" w:rsidRPr="00880C55">
        <w:rPr>
          <w:rFonts w:ascii="Times New Roman" w:hAnsi="Times New Roman"/>
          <w:color w:val="000000"/>
          <w:sz w:val="24"/>
          <w:szCs w:val="24"/>
        </w:rPr>
        <w:t xml:space="preserve">el proyecto </w:t>
      </w:r>
      <w:r w:rsidR="00880C55" w:rsidRPr="00880C55">
        <w:rPr>
          <w:rFonts w:ascii="Times New Roman" w:hAnsi="Times New Roman"/>
          <w:color w:val="000000"/>
          <w:sz w:val="24"/>
          <w:szCs w:val="24"/>
        </w:rPr>
        <w:t>colinda con un afluente de la QUEBRADA LOS ALGARROBOS</w:t>
      </w:r>
      <w:r w:rsidR="00880C55" w:rsidRPr="00880C55">
        <w:rPr>
          <w:rFonts w:ascii="Times New Roman" w:hAnsi="Times New Roman"/>
          <w:b/>
          <w:color w:val="000000"/>
          <w:sz w:val="24"/>
          <w:szCs w:val="24"/>
        </w:rPr>
        <w:t xml:space="preserve">; </w:t>
      </w:r>
      <w:r w:rsidR="00880C55" w:rsidRPr="00880C55">
        <w:rPr>
          <w:rFonts w:ascii="Times New Roman" w:hAnsi="Times New Roman"/>
          <w:color w:val="000000"/>
          <w:sz w:val="24"/>
          <w:szCs w:val="24"/>
        </w:rPr>
        <w:t xml:space="preserve">la misma </w:t>
      </w:r>
      <w:r w:rsidR="00880C55" w:rsidRPr="00880C55">
        <w:rPr>
          <w:rFonts w:ascii="Times New Roman" w:eastAsia="SimSun" w:hAnsi="Times New Roman"/>
          <w:sz w:val="24"/>
          <w:szCs w:val="24"/>
          <w:lang w:eastAsia="es-PA"/>
        </w:rPr>
        <w:t xml:space="preserve">nace aguas arriba del proyecto en la elevación 165 </w:t>
      </w:r>
      <w:proofErr w:type="spellStart"/>
      <w:r w:rsidR="00880C55" w:rsidRPr="00880C55">
        <w:rPr>
          <w:rFonts w:ascii="Times New Roman" w:eastAsia="SimSun" w:hAnsi="Times New Roman"/>
          <w:sz w:val="24"/>
          <w:szCs w:val="24"/>
          <w:lang w:eastAsia="es-PA"/>
        </w:rPr>
        <w:t>m.s.n.m</w:t>
      </w:r>
      <w:proofErr w:type="spellEnd"/>
      <w:r w:rsidR="00880C55" w:rsidRPr="00880C55">
        <w:rPr>
          <w:rFonts w:ascii="Times New Roman" w:eastAsia="SimSun" w:hAnsi="Times New Roman"/>
          <w:sz w:val="24"/>
          <w:szCs w:val="24"/>
          <w:lang w:eastAsia="es-PA"/>
        </w:rPr>
        <w:t xml:space="preserve"> y desemboca aguas abajo del proyecto en el Río David en la elevación 80 m.s.n.m. esta quebrada presenta forma sinuosa en todo su canal de recorrido, vegetación densa y pendiente suave. Presenta un pequeño flujo continuo durante todo el año, aumentando su caudal para los tiempos de invierno que se ve provocadas por precipitaciones que causan escorrentías en la cuenca de la quebrada</w:t>
      </w:r>
      <w:r w:rsidR="00880C55" w:rsidRPr="00880C55">
        <w:rPr>
          <w:rFonts w:ascii="Times New Roman" w:hAnsi="Times New Roman"/>
          <w:color w:val="000000"/>
          <w:sz w:val="24"/>
          <w:szCs w:val="24"/>
        </w:rPr>
        <w:t xml:space="preserve"> </w:t>
      </w:r>
      <w:r w:rsidR="00880C55" w:rsidRPr="00880C55">
        <w:rPr>
          <w:rFonts w:ascii="Times New Roman" w:eastAsia="SimSun" w:hAnsi="Times New Roman"/>
          <w:sz w:val="24"/>
          <w:szCs w:val="24"/>
          <w:lang w:eastAsia="es-PA"/>
        </w:rPr>
        <w:t>provocando así el aumento de su caudal</w:t>
      </w:r>
      <w:r w:rsidR="00880C55">
        <w:rPr>
          <w:rFonts w:ascii="Times New Roman" w:eastAsia="SimSun" w:hAnsi="Times New Roman"/>
          <w:sz w:val="24"/>
          <w:szCs w:val="24"/>
          <w:lang w:eastAsia="es-PA"/>
        </w:rPr>
        <w:t>.</w:t>
      </w:r>
    </w:p>
    <w:p w:rsidR="00880C55" w:rsidRDefault="00880C55" w:rsidP="00880C55">
      <w:pPr>
        <w:pStyle w:val="Prrafodelista1"/>
        <w:autoSpaceDE w:val="0"/>
        <w:autoSpaceDN w:val="0"/>
        <w:adjustRightInd w:val="0"/>
        <w:spacing w:after="240"/>
        <w:ind w:left="0"/>
        <w:jc w:val="both"/>
        <w:rPr>
          <w:rFonts w:ascii="Times New Roman" w:hAnsi="Times New Roman"/>
          <w:b/>
          <w:color w:val="000000"/>
          <w:sz w:val="24"/>
          <w:szCs w:val="24"/>
        </w:rPr>
      </w:pPr>
    </w:p>
    <w:p w:rsidR="0086245C" w:rsidRPr="00880C55" w:rsidRDefault="007C6D53" w:rsidP="00880C55">
      <w:pPr>
        <w:pStyle w:val="Prrafodelista1"/>
        <w:autoSpaceDE w:val="0"/>
        <w:autoSpaceDN w:val="0"/>
        <w:adjustRightInd w:val="0"/>
        <w:spacing w:after="240"/>
        <w:ind w:left="0"/>
        <w:jc w:val="both"/>
        <w:rPr>
          <w:rFonts w:ascii="Times New Roman" w:hAnsi="Times New Roman"/>
          <w:color w:val="000000"/>
          <w:sz w:val="24"/>
          <w:szCs w:val="24"/>
        </w:rPr>
      </w:pPr>
      <w:r w:rsidRPr="00880C55">
        <w:rPr>
          <w:rFonts w:ascii="Times New Roman" w:hAnsi="Times New Roman"/>
          <w:b/>
          <w:sz w:val="24"/>
          <w:szCs w:val="24"/>
        </w:rPr>
        <w:t>Componente Biológico:</w:t>
      </w:r>
    </w:p>
    <w:p w:rsidR="00880BD2" w:rsidRDefault="007C6D53" w:rsidP="00880BD2">
      <w:pPr>
        <w:autoSpaceDE w:val="0"/>
        <w:autoSpaceDN w:val="0"/>
        <w:adjustRightInd w:val="0"/>
        <w:jc w:val="both"/>
        <w:rPr>
          <w:rFonts w:eastAsia="SimSun"/>
          <w:lang w:val="es-PA" w:eastAsia="es-PA"/>
        </w:rPr>
      </w:pPr>
      <w:r w:rsidRPr="00E245BA">
        <w:t xml:space="preserve">Según se describe en el EsIA, en lo que respecta a las características de la flora, </w:t>
      </w:r>
      <w:r w:rsidR="003B2F58">
        <w:t xml:space="preserve">la vegetación está </w:t>
      </w:r>
      <w:r w:rsidR="00E80952">
        <w:t>compuesta</w:t>
      </w:r>
      <w:r w:rsidR="003B2F58">
        <w:t xml:space="preserve"> por </w:t>
      </w:r>
      <w:r w:rsidR="00880C55">
        <w:t>gramíneas, arboles dispersos, bosque de galería</w:t>
      </w:r>
      <w:r w:rsidR="00261339">
        <w:t xml:space="preserve">. En lo que respecta a </w:t>
      </w:r>
      <w:r w:rsidR="00261339">
        <w:rPr>
          <w:rFonts w:eastAsia="SimSun"/>
          <w:lang w:val="es-PA" w:eastAsia="es-PA"/>
        </w:rPr>
        <w:t xml:space="preserve">el área de vegetación de gramíneas está dominada por especies herbáceas, principalmente por </w:t>
      </w:r>
      <w:proofErr w:type="spellStart"/>
      <w:r w:rsidR="00261339">
        <w:rPr>
          <w:rFonts w:eastAsia="SimSun"/>
          <w:i/>
          <w:iCs/>
          <w:lang w:val="es-PA" w:eastAsia="es-PA"/>
        </w:rPr>
        <w:t>Borreria</w:t>
      </w:r>
      <w:proofErr w:type="spellEnd"/>
      <w:r w:rsidR="00261339">
        <w:rPr>
          <w:rFonts w:eastAsia="SimSun"/>
          <w:i/>
          <w:iCs/>
          <w:lang w:val="es-PA" w:eastAsia="es-PA"/>
        </w:rPr>
        <w:t xml:space="preserve"> </w:t>
      </w:r>
      <w:proofErr w:type="spellStart"/>
      <w:r w:rsidR="00261339">
        <w:rPr>
          <w:rFonts w:eastAsia="SimSun"/>
          <w:i/>
          <w:iCs/>
          <w:lang w:val="es-PA" w:eastAsia="es-PA"/>
        </w:rPr>
        <w:t>laevis</w:t>
      </w:r>
      <w:proofErr w:type="spellEnd"/>
      <w:r w:rsidR="00261339">
        <w:rPr>
          <w:rFonts w:eastAsia="SimSun"/>
          <w:i/>
          <w:iCs/>
          <w:lang w:val="es-PA" w:eastAsia="es-PA"/>
        </w:rPr>
        <w:t xml:space="preserve"> (</w:t>
      </w:r>
      <w:r w:rsidR="00261339">
        <w:rPr>
          <w:rFonts w:eastAsia="SimSun"/>
          <w:lang w:val="es-PA" w:eastAsia="es-PA"/>
        </w:rPr>
        <w:t xml:space="preserve">Botoncillo, Yerba de gordo, Hierba de toro) y </w:t>
      </w:r>
      <w:proofErr w:type="spellStart"/>
      <w:r w:rsidR="00261339">
        <w:rPr>
          <w:rFonts w:eastAsia="SimSun"/>
          <w:i/>
          <w:iCs/>
          <w:lang w:val="es-PA" w:eastAsia="es-PA"/>
        </w:rPr>
        <w:t>Richardia</w:t>
      </w:r>
      <w:proofErr w:type="spellEnd"/>
      <w:r w:rsidR="00261339">
        <w:rPr>
          <w:rFonts w:eastAsia="SimSun"/>
          <w:lang w:val="es-PA" w:eastAsia="es-PA"/>
        </w:rPr>
        <w:t xml:space="preserve"> </w:t>
      </w:r>
      <w:proofErr w:type="spellStart"/>
      <w:r w:rsidR="00261339">
        <w:rPr>
          <w:rFonts w:eastAsia="SimSun"/>
          <w:i/>
          <w:iCs/>
          <w:lang w:val="es-PA" w:eastAsia="es-PA"/>
        </w:rPr>
        <w:t>scabra</w:t>
      </w:r>
      <w:proofErr w:type="spellEnd"/>
      <w:r w:rsidR="00261339">
        <w:rPr>
          <w:rFonts w:eastAsia="SimSun"/>
          <w:i/>
          <w:iCs/>
          <w:lang w:val="es-PA" w:eastAsia="es-PA"/>
        </w:rPr>
        <w:t xml:space="preserve"> </w:t>
      </w:r>
      <w:r w:rsidR="00261339">
        <w:rPr>
          <w:rFonts w:eastAsia="SimSun"/>
          <w:lang w:val="es-PA" w:eastAsia="es-PA"/>
        </w:rPr>
        <w:t xml:space="preserve">(clavelito o tabaquillo); por su parte la vegetación arbórea está conformada por las siguientes especies: </w:t>
      </w:r>
      <w:r w:rsidR="00261339" w:rsidRPr="00261339">
        <w:rPr>
          <w:rFonts w:eastAsia="SimSun"/>
          <w:bCs/>
          <w:lang w:val="es-PA" w:eastAsia="es-PA"/>
        </w:rPr>
        <w:t>Nance</w:t>
      </w:r>
      <w:r w:rsidR="00261339">
        <w:rPr>
          <w:rFonts w:eastAsia="SimSun"/>
          <w:b/>
          <w:bCs/>
          <w:lang w:val="es-PA" w:eastAsia="es-PA"/>
        </w:rPr>
        <w:t xml:space="preserve"> (</w:t>
      </w:r>
      <w:proofErr w:type="spellStart"/>
      <w:r w:rsidR="00261339">
        <w:rPr>
          <w:rFonts w:eastAsia="SimSun"/>
          <w:i/>
          <w:iCs/>
          <w:lang w:val="es-PA" w:eastAsia="es-PA"/>
        </w:rPr>
        <w:t>Byrsonima</w:t>
      </w:r>
      <w:proofErr w:type="spellEnd"/>
      <w:r w:rsidR="00261339">
        <w:rPr>
          <w:rFonts w:eastAsia="SimSun"/>
          <w:i/>
          <w:iCs/>
          <w:lang w:val="es-PA" w:eastAsia="es-PA"/>
        </w:rPr>
        <w:t xml:space="preserve"> </w:t>
      </w:r>
      <w:proofErr w:type="spellStart"/>
      <w:r w:rsidR="00261339">
        <w:rPr>
          <w:rFonts w:eastAsia="SimSun"/>
          <w:i/>
          <w:iCs/>
          <w:lang w:val="es-PA" w:eastAsia="es-PA"/>
        </w:rPr>
        <w:t>crassifolia</w:t>
      </w:r>
      <w:proofErr w:type="spellEnd"/>
      <w:r w:rsidR="00261339">
        <w:rPr>
          <w:rFonts w:eastAsia="SimSun"/>
          <w:i/>
          <w:iCs/>
          <w:lang w:val="es-PA" w:eastAsia="es-PA"/>
        </w:rPr>
        <w:t xml:space="preserve">), </w:t>
      </w:r>
      <w:proofErr w:type="spellStart"/>
      <w:r w:rsidR="00261339" w:rsidRPr="00261339">
        <w:rPr>
          <w:rFonts w:eastAsia="SimSun"/>
          <w:iCs/>
          <w:lang w:val="es-PA" w:eastAsia="es-PA"/>
        </w:rPr>
        <w:t>cañafistula</w:t>
      </w:r>
      <w:proofErr w:type="spellEnd"/>
      <w:r w:rsidR="00261339" w:rsidRPr="00261339">
        <w:rPr>
          <w:rFonts w:eastAsia="SimSun"/>
          <w:i/>
          <w:iCs/>
          <w:lang w:val="es-PA" w:eastAsia="es-PA"/>
        </w:rPr>
        <w:t xml:space="preserve"> </w:t>
      </w:r>
      <w:r w:rsidR="00261339">
        <w:rPr>
          <w:rFonts w:eastAsia="SimSun"/>
          <w:i/>
          <w:iCs/>
          <w:lang w:val="es-PA" w:eastAsia="es-PA"/>
        </w:rPr>
        <w:t>(</w:t>
      </w:r>
      <w:proofErr w:type="spellStart"/>
      <w:r w:rsidR="00261339" w:rsidRPr="00261339">
        <w:rPr>
          <w:rFonts w:eastAsia="SimSun"/>
          <w:i/>
          <w:iCs/>
          <w:lang w:val="es-PA" w:eastAsia="es-PA"/>
        </w:rPr>
        <w:t>Cassia</w:t>
      </w:r>
      <w:proofErr w:type="spellEnd"/>
      <w:r w:rsidR="00261339" w:rsidRPr="00261339">
        <w:rPr>
          <w:rFonts w:eastAsia="SimSun"/>
          <w:i/>
          <w:iCs/>
          <w:lang w:val="es-PA" w:eastAsia="es-PA"/>
        </w:rPr>
        <w:t xml:space="preserve"> </w:t>
      </w:r>
      <w:proofErr w:type="spellStart"/>
      <w:r w:rsidR="00261339" w:rsidRPr="00261339">
        <w:rPr>
          <w:rFonts w:eastAsia="SimSun"/>
          <w:i/>
          <w:iCs/>
          <w:lang w:val="es-PA" w:eastAsia="es-PA"/>
        </w:rPr>
        <w:t>moschata</w:t>
      </w:r>
      <w:proofErr w:type="spellEnd"/>
      <w:r w:rsidR="00261339">
        <w:rPr>
          <w:rFonts w:eastAsia="SimSun"/>
          <w:i/>
          <w:iCs/>
          <w:lang w:val="es-PA" w:eastAsia="es-PA"/>
        </w:rPr>
        <w:t xml:space="preserve">), </w:t>
      </w:r>
      <w:proofErr w:type="spellStart"/>
      <w:r w:rsidR="00261339">
        <w:rPr>
          <w:rFonts w:eastAsia="SimSun"/>
          <w:iCs/>
          <w:lang w:val="es-PA" w:eastAsia="es-PA"/>
        </w:rPr>
        <w:t>c</w:t>
      </w:r>
      <w:r w:rsidR="00261339" w:rsidRPr="00261339">
        <w:rPr>
          <w:rFonts w:eastAsia="SimSun"/>
          <w:iCs/>
          <w:lang w:val="es-PA" w:eastAsia="es-PA"/>
        </w:rPr>
        <w:t>humico</w:t>
      </w:r>
      <w:proofErr w:type="spellEnd"/>
      <w:r w:rsidR="00261339" w:rsidRPr="00261339">
        <w:rPr>
          <w:rFonts w:eastAsia="SimSun"/>
          <w:i/>
          <w:iCs/>
          <w:lang w:val="es-PA" w:eastAsia="es-PA"/>
        </w:rPr>
        <w:t xml:space="preserve"> </w:t>
      </w:r>
      <w:r w:rsidR="00261339">
        <w:rPr>
          <w:rFonts w:eastAsia="SimSun"/>
          <w:i/>
          <w:iCs/>
          <w:lang w:val="es-PA" w:eastAsia="es-PA"/>
        </w:rPr>
        <w:t>(</w:t>
      </w:r>
      <w:proofErr w:type="spellStart"/>
      <w:r w:rsidR="00261339" w:rsidRPr="00261339">
        <w:rPr>
          <w:rFonts w:eastAsia="SimSun"/>
          <w:i/>
          <w:iCs/>
          <w:lang w:val="es-PA" w:eastAsia="es-PA"/>
        </w:rPr>
        <w:t>Curatella</w:t>
      </w:r>
      <w:proofErr w:type="spellEnd"/>
      <w:r w:rsidR="00261339" w:rsidRPr="00261339">
        <w:rPr>
          <w:rFonts w:eastAsia="SimSun"/>
          <w:i/>
          <w:iCs/>
          <w:lang w:val="es-PA" w:eastAsia="es-PA"/>
        </w:rPr>
        <w:t xml:space="preserve"> americana</w:t>
      </w:r>
      <w:r w:rsidR="00261339">
        <w:rPr>
          <w:rFonts w:eastAsia="SimSun"/>
          <w:i/>
          <w:iCs/>
          <w:lang w:val="es-PA" w:eastAsia="es-PA"/>
        </w:rPr>
        <w:t xml:space="preserve">), </w:t>
      </w:r>
      <w:r w:rsidR="00261339">
        <w:rPr>
          <w:rFonts w:eastAsia="SimSun"/>
          <w:bCs/>
          <w:lang w:val="es-PA" w:eastAsia="es-PA"/>
        </w:rPr>
        <w:t>p</w:t>
      </w:r>
      <w:r w:rsidR="00261339" w:rsidRPr="00261339">
        <w:rPr>
          <w:rFonts w:eastAsia="SimSun"/>
          <w:bCs/>
          <w:lang w:val="es-PA" w:eastAsia="es-PA"/>
        </w:rPr>
        <w:t>alo santo</w:t>
      </w:r>
      <w:r w:rsidR="00261339">
        <w:rPr>
          <w:rFonts w:eastAsia="SimSun"/>
          <w:b/>
          <w:bCs/>
          <w:lang w:val="es-PA" w:eastAsia="es-PA"/>
        </w:rPr>
        <w:t xml:space="preserve"> (</w:t>
      </w:r>
      <w:proofErr w:type="spellStart"/>
      <w:r w:rsidR="00261339">
        <w:rPr>
          <w:rFonts w:eastAsia="SimSun"/>
          <w:i/>
          <w:iCs/>
          <w:lang w:val="es-PA" w:eastAsia="es-PA"/>
        </w:rPr>
        <w:t>Erythrina</w:t>
      </w:r>
      <w:proofErr w:type="spellEnd"/>
      <w:r w:rsidR="00261339">
        <w:rPr>
          <w:rFonts w:eastAsia="SimSun"/>
          <w:i/>
          <w:iCs/>
          <w:lang w:val="es-PA" w:eastAsia="es-PA"/>
        </w:rPr>
        <w:t xml:space="preserve"> </w:t>
      </w:r>
      <w:proofErr w:type="spellStart"/>
      <w:r w:rsidR="00261339">
        <w:rPr>
          <w:rFonts w:eastAsia="SimSun"/>
          <w:i/>
          <w:iCs/>
          <w:lang w:val="es-PA" w:eastAsia="es-PA"/>
        </w:rPr>
        <w:t>sp</w:t>
      </w:r>
      <w:proofErr w:type="spellEnd"/>
      <w:r w:rsidR="00261339">
        <w:rPr>
          <w:rFonts w:eastAsia="SimSun"/>
          <w:i/>
          <w:iCs/>
          <w:lang w:val="es-PA" w:eastAsia="es-PA"/>
        </w:rPr>
        <w:t>.)</w:t>
      </w:r>
      <w:r w:rsidR="00261339">
        <w:rPr>
          <w:rFonts w:eastAsia="SimSun"/>
          <w:iCs/>
          <w:lang w:val="es-PA" w:eastAsia="es-PA"/>
        </w:rPr>
        <w:t>, l</w:t>
      </w:r>
      <w:r w:rsidR="00261339" w:rsidRPr="00261339">
        <w:rPr>
          <w:rFonts w:eastAsia="SimSun"/>
          <w:iCs/>
          <w:lang w:val="es-PA" w:eastAsia="es-PA"/>
        </w:rPr>
        <w:t xml:space="preserve">aurel </w:t>
      </w:r>
      <w:r w:rsidR="00261339">
        <w:rPr>
          <w:rFonts w:eastAsia="SimSun"/>
          <w:iCs/>
          <w:lang w:val="es-PA" w:eastAsia="es-PA"/>
        </w:rPr>
        <w:t>(</w:t>
      </w:r>
      <w:proofErr w:type="spellStart"/>
      <w:r w:rsidR="00261339" w:rsidRPr="00261339">
        <w:rPr>
          <w:rFonts w:eastAsia="SimSun"/>
          <w:i/>
          <w:iCs/>
          <w:lang w:val="es-PA" w:eastAsia="es-PA"/>
        </w:rPr>
        <w:t>Cordia</w:t>
      </w:r>
      <w:proofErr w:type="spellEnd"/>
      <w:r w:rsidR="00261339" w:rsidRPr="00261339">
        <w:rPr>
          <w:rFonts w:eastAsia="SimSun"/>
          <w:i/>
          <w:iCs/>
          <w:lang w:val="es-PA" w:eastAsia="es-PA"/>
        </w:rPr>
        <w:t xml:space="preserve"> </w:t>
      </w:r>
      <w:proofErr w:type="spellStart"/>
      <w:r w:rsidR="00261339" w:rsidRPr="00261339">
        <w:rPr>
          <w:rFonts w:eastAsia="SimSun"/>
          <w:i/>
          <w:iCs/>
          <w:lang w:val="es-PA" w:eastAsia="es-PA"/>
        </w:rPr>
        <w:t>alliodora</w:t>
      </w:r>
      <w:proofErr w:type="spellEnd"/>
      <w:r w:rsidR="00261339">
        <w:rPr>
          <w:rFonts w:eastAsia="SimSun"/>
          <w:i/>
          <w:iCs/>
          <w:lang w:val="es-PA" w:eastAsia="es-PA"/>
        </w:rPr>
        <w:t xml:space="preserve">), </w:t>
      </w:r>
      <w:r w:rsidR="00880BD2">
        <w:rPr>
          <w:rFonts w:eastAsia="SimSun"/>
          <w:bCs/>
          <w:lang w:val="es-PA" w:eastAsia="es-PA"/>
        </w:rPr>
        <w:t>r</w:t>
      </w:r>
      <w:r w:rsidR="00261339" w:rsidRPr="00261339">
        <w:rPr>
          <w:rFonts w:eastAsia="SimSun"/>
          <w:bCs/>
          <w:lang w:val="es-PA" w:eastAsia="es-PA"/>
        </w:rPr>
        <w:t>oble</w:t>
      </w:r>
      <w:r w:rsidR="00261339">
        <w:rPr>
          <w:rFonts w:eastAsia="SimSun"/>
          <w:b/>
          <w:bCs/>
          <w:lang w:val="es-PA" w:eastAsia="es-PA"/>
        </w:rPr>
        <w:t xml:space="preserve"> (</w:t>
      </w:r>
      <w:proofErr w:type="spellStart"/>
      <w:r w:rsidR="00261339">
        <w:rPr>
          <w:rFonts w:eastAsia="SimSun"/>
          <w:i/>
          <w:iCs/>
          <w:lang w:val="es-PA" w:eastAsia="es-PA"/>
        </w:rPr>
        <w:t>Tabebuia</w:t>
      </w:r>
      <w:proofErr w:type="spellEnd"/>
      <w:r w:rsidR="00261339">
        <w:rPr>
          <w:rFonts w:eastAsia="SimSun"/>
          <w:i/>
          <w:iCs/>
          <w:lang w:val="es-PA" w:eastAsia="es-PA"/>
        </w:rPr>
        <w:t xml:space="preserve"> rosea), </w:t>
      </w:r>
      <w:r w:rsidR="00880BD2">
        <w:rPr>
          <w:rFonts w:eastAsia="SimSun"/>
          <w:bCs/>
          <w:lang w:val="es-PA" w:eastAsia="es-PA"/>
        </w:rPr>
        <w:t>s</w:t>
      </w:r>
      <w:r w:rsidR="00261339" w:rsidRPr="00261339">
        <w:rPr>
          <w:rFonts w:eastAsia="SimSun"/>
          <w:bCs/>
          <w:lang w:val="es-PA" w:eastAsia="es-PA"/>
        </w:rPr>
        <w:t>igua</w:t>
      </w:r>
      <w:r w:rsidR="00261339">
        <w:rPr>
          <w:rFonts w:eastAsia="SimSun"/>
          <w:b/>
          <w:bCs/>
          <w:lang w:val="es-PA" w:eastAsia="es-PA"/>
        </w:rPr>
        <w:t xml:space="preserve"> (</w:t>
      </w:r>
      <w:proofErr w:type="spellStart"/>
      <w:r w:rsidR="00261339">
        <w:rPr>
          <w:rFonts w:eastAsia="SimSun"/>
          <w:i/>
          <w:iCs/>
          <w:lang w:val="es-PA" w:eastAsia="es-PA"/>
        </w:rPr>
        <w:t>Ocotea</w:t>
      </w:r>
      <w:proofErr w:type="spellEnd"/>
      <w:r w:rsidR="00261339">
        <w:rPr>
          <w:rFonts w:eastAsia="SimSun"/>
          <w:i/>
          <w:iCs/>
          <w:lang w:val="es-PA" w:eastAsia="es-PA"/>
        </w:rPr>
        <w:t xml:space="preserve"> </w:t>
      </w:r>
      <w:proofErr w:type="spellStart"/>
      <w:r w:rsidR="00261339">
        <w:rPr>
          <w:rFonts w:eastAsia="SimSun"/>
          <w:i/>
          <w:iCs/>
          <w:lang w:val="es-PA" w:eastAsia="es-PA"/>
        </w:rPr>
        <w:t>sp</w:t>
      </w:r>
      <w:proofErr w:type="spellEnd"/>
      <w:r w:rsidR="00261339">
        <w:rPr>
          <w:rFonts w:eastAsia="SimSun"/>
          <w:i/>
          <w:iCs/>
          <w:lang w:val="es-PA" w:eastAsia="es-PA"/>
        </w:rPr>
        <w:t xml:space="preserve">.), </w:t>
      </w:r>
      <w:r w:rsidR="00880BD2">
        <w:rPr>
          <w:rFonts w:eastAsia="SimSun"/>
          <w:bCs/>
          <w:lang w:val="es-PA" w:eastAsia="es-PA"/>
        </w:rPr>
        <w:t>j</w:t>
      </w:r>
      <w:r w:rsidR="00261339" w:rsidRPr="00FC1188">
        <w:rPr>
          <w:rFonts w:eastAsia="SimSun"/>
          <w:bCs/>
          <w:lang w:val="es-PA" w:eastAsia="es-PA"/>
        </w:rPr>
        <w:t>agua</w:t>
      </w:r>
      <w:r w:rsidR="00261339">
        <w:rPr>
          <w:rFonts w:eastAsia="SimSun"/>
          <w:b/>
          <w:bCs/>
          <w:lang w:val="es-PA" w:eastAsia="es-PA"/>
        </w:rPr>
        <w:t xml:space="preserve"> </w:t>
      </w:r>
      <w:r w:rsidR="00FC1188">
        <w:rPr>
          <w:rFonts w:eastAsia="SimSun"/>
          <w:b/>
          <w:bCs/>
          <w:lang w:val="es-PA" w:eastAsia="es-PA"/>
        </w:rPr>
        <w:t>(</w:t>
      </w:r>
      <w:r w:rsidR="00261339">
        <w:rPr>
          <w:rFonts w:eastAsia="SimSun"/>
          <w:i/>
          <w:iCs/>
          <w:lang w:val="es-PA" w:eastAsia="es-PA"/>
        </w:rPr>
        <w:t>Genipa americana</w:t>
      </w:r>
      <w:r w:rsidR="00FC1188">
        <w:rPr>
          <w:rFonts w:eastAsia="SimSun"/>
          <w:i/>
          <w:iCs/>
          <w:lang w:val="es-PA" w:eastAsia="es-PA"/>
        </w:rPr>
        <w:t>)</w:t>
      </w:r>
      <w:r w:rsidR="008E5348">
        <w:rPr>
          <w:rFonts w:eastAsia="SimSun"/>
          <w:i/>
          <w:iCs/>
          <w:lang w:val="es-PA" w:eastAsia="es-PA"/>
        </w:rPr>
        <w:t xml:space="preserve">, </w:t>
      </w:r>
      <w:r w:rsidR="00880BD2">
        <w:rPr>
          <w:rFonts w:eastAsia="SimSun"/>
          <w:bCs/>
          <w:lang w:val="es-PA" w:eastAsia="es-PA"/>
        </w:rPr>
        <w:t>almacig</w:t>
      </w:r>
      <w:r w:rsidR="008E5348" w:rsidRPr="008E5348">
        <w:rPr>
          <w:rFonts w:eastAsia="SimSun"/>
          <w:bCs/>
          <w:lang w:val="es-PA" w:eastAsia="es-PA"/>
        </w:rPr>
        <w:t>o</w:t>
      </w:r>
      <w:r w:rsidR="008E5348">
        <w:rPr>
          <w:rFonts w:eastAsia="SimSun"/>
          <w:b/>
          <w:bCs/>
          <w:lang w:val="es-PA" w:eastAsia="es-PA"/>
        </w:rPr>
        <w:t xml:space="preserve"> (</w:t>
      </w:r>
      <w:proofErr w:type="spellStart"/>
      <w:r w:rsidR="008E5348">
        <w:rPr>
          <w:rFonts w:eastAsia="SimSun"/>
          <w:i/>
          <w:iCs/>
          <w:lang w:val="es-PA" w:eastAsia="es-PA"/>
        </w:rPr>
        <w:t>Bursera</w:t>
      </w:r>
      <w:proofErr w:type="spellEnd"/>
      <w:r w:rsidR="008E5348">
        <w:rPr>
          <w:rFonts w:eastAsia="SimSun"/>
          <w:i/>
          <w:iCs/>
          <w:lang w:val="es-PA" w:eastAsia="es-PA"/>
        </w:rPr>
        <w:t xml:space="preserve"> simaruba)</w:t>
      </w:r>
      <w:r w:rsidR="00880BD2">
        <w:rPr>
          <w:rFonts w:eastAsia="SimSun"/>
          <w:i/>
          <w:iCs/>
          <w:lang w:val="es-PA" w:eastAsia="es-PA"/>
        </w:rPr>
        <w:t xml:space="preserve">, </w:t>
      </w:r>
      <w:proofErr w:type="spellStart"/>
      <w:r w:rsidR="00880BD2">
        <w:rPr>
          <w:rFonts w:eastAsia="SimSun"/>
          <w:bCs/>
          <w:lang w:val="es-PA" w:eastAsia="es-PA"/>
        </w:rPr>
        <w:t>m</w:t>
      </w:r>
      <w:r w:rsidR="00880BD2" w:rsidRPr="00880BD2">
        <w:rPr>
          <w:rFonts w:eastAsia="SimSun"/>
          <w:bCs/>
          <w:lang w:val="es-PA" w:eastAsia="es-PA"/>
        </w:rPr>
        <w:t>arañon</w:t>
      </w:r>
      <w:proofErr w:type="spellEnd"/>
      <w:r w:rsidR="00880BD2">
        <w:rPr>
          <w:rFonts w:eastAsia="SimSun"/>
          <w:b/>
          <w:bCs/>
          <w:lang w:val="es-PA" w:eastAsia="es-PA"/>
        </w:rPr>
        <w:t xml:space="preserve"> </w:t>
      </w:r>
      <w:r w:rsidR="00880BD2" w:rsidRPr="00880BD2">
        <w:rPr>
          <w:rFonts w:eastAsia="SimSun"/>
          <w:bCs/>
          <w:lang w:val="es-PA" w:eastAsia="es-PA"/>
        </w:rPr>
        <w:t>(</w:t>
      </w:r>
      <w:proofErr w:type="spellStart"/>
      <w:r w:rsidR="00880BD2">
        <w:rPr>
          <w:rFonts w:eastAsia="SimSun"/>
          <w:i/>
          <w:iCs/>
          <w:lang w:val="es-PA" w:eastAsia="es-PA"/>
        </w:rPr>
        <w:t>Anacardium</w:t>
      </w:r>
      <w:proofErr w:type="spellEnd"/>
      <w:r w:rsidR="00880BD2">
        <w:rPr>
          <w:rFonts w:eastAsia="SimSun"/>
          <w:i/>
          <w:iCs/>
          <w:lang w:val="es-PA" w:eastAsia="es-PA"/>
        </w:rPr>
        <w:t xml:space="preserve"> </w:t>
      </w:r>
      <w:proofErr w:type="spellStart"/>
      <w:r w:rsidR="00880BD2">
        <w:rPr>
          <w:rFonts w:eastAsia="SimSun"/>
          <w:i/>
          <w:iCs/>
          <w:lang w:val="es-PA" w:eastAsia="es-PA"/>
        </w:rPr>
        <w:t>occidentale</w:t>
      </w:r>
      <w:proofErr w:type="spellEnd"/>
      <w:r w:rsidR="00880BD2">
        <w:rPr>
          <w:rFonts w:eastAsia="SimSun"/>
          <w:i/>
          <w:iCs/>
          <w:lang w:val="es-PA" w:eastAsia="es-PA"/>
        </w:rPr>
        <w:t xml:space="preserve">), </w:t>
      </w:r>
      <w:r w:rsidR="00880BD2">
        <w:rPr>
          <w:rFonts w:eastAsia="SimSun"/>
          <w:iCs/>
          <w:lang w:val="es-PA" w:eastAsia="es-PA"/>
        </w:rPr>
        <w:t>t</w:t>
      </w:r>
      <w:r w:rsidR="00880BD2" w:rsidRPr="00880BD2">
        <w:rPr>
          <w:rFonts w:eastAsia="SimSun"/>
          <w:iCs/>
          <w:lang w:val="es-PA" w:eastAsia="es-PA"/>
        </w:rPr>
        <w:t>erciopelo</w:t>
      </w:r>
      <w:r w:rsidR="00880BD2" w:rsidRPr="00880BD2">
        <w:rPr>
          <w:rFonts w:eastAsia="SimSun"/>
          <w:i/>
          <w:iCs/>
          <w:lang w:val="es-PA" w:eastAsia="es-PA"/>
        </w:rPr>
        <w:t xml:space="preserve"> </w:t>
      </w:r>
      <w:r w:rsidR="00880BD2">
        <w:rPr>
          <w:rFonts w:eastAsia="SimSun"/>
          <w:i/>
          <w:iCs/>
          <w:lang w:val="es-PA" w:eastAsia="es-PA"/>
        </w:rPr>
        <w:t>(</w:t>
      </w:r>
      <w:proofErr w:type="spellStart"/>
      <w:r w:rsidR="00880BD2" w:rsidRPr="00880BD2">
        <w:rPr>
          <w:rFonts w:eastAsia="SimSun"/>
          <w:i/>
          <w:iCs/>
          <w:lang w:val="es-PA" w:eastAsia="es-PA"/>
        </w:rPr>
        <w:t>Sloanea</w:t>
      </w:r>
      <w:proofErr w:type="spellEnd"/>
      <w:r w:rsidR="00880BD2" w:rsidRPr="00880BD2">
        <w:rPr>
          <w:rFonts w:eastAsia="SimSun"/>
          <w:i/>
          <w:iCs/>
          <w:lang w:val="es-PA" w:eastAsia="es-PA"/>
        </w:rPr>
        <w:t xml:space="preserve"> </w:t>
      </w:r>
      <w:proofErr w:type="spellStart"/>
      <w:r w:rsidR="00880BD2" w:rsidRPr="00880BD2">
        <w:rPr>
          <w:rFonts w:eastAsia="SimSun"/>
          <w:i/>
          <w:iCs/>
          <w:lang w:val="es-PA" w:eastAsia="es-PA"/>
        </w:rPr>
        <w:t>sp</w:t>
      </w:r>
      <w:proofErr w:type="spellEnd"/>
      <w:r w:rsidR="00880BD2" w:rsidRPr="00880BD2">
        <w:rPr>
          <w:rFonts w:eastAsia="SimSun"/>
          <w:i/>
          <w:iCs/>
          <w:lang w:val="es-PA" w:eastAsia="es-PA"/>
        </w:rPr>
        <w:t>.</w:t>
      </w:r>
      <w:r w:rsidR="00880BD2">
        <w:rPr>
          <w:rFonts w:eastAsia="SimSun"/>
          <w:i/>
          <w:iCs/>
          <w:lang w:val="es-PA" w:eastAsia="es-PA"/>
        </w:rPr>
        <w:t xml:space="preserve">), </w:t>
      </w:r>
      <w:r w:rsidR="00880BD2">
        <w:rPr>
          <w:rFonts w:eastAsia="SimSun"/>
          <w:bCs/>
          <w:lang w:val="es-PA" w:eastAsia="es-PA"/>
        </w:rPr>
        <w:t>m</w:t>
      </w:r>
      <w:r w:rsidR="00880BD2" w:rsidRPr="00880BD2">
        <w:rPr>
          <w:rFonts w:eastAsia="SimSun"/>
          <w:bCs/>
          <w:lang w:val="es-PA" w:eastAsia="es-PA"/>
        </w:rPr>
        <w:t>acano</w:t>
      </w:r>
      <w:r w:rsidR="00880BD2">
        <w:rPr>
          <w:rFonts w:eastAsia="SimSun"/>
          <w:b/>
          <w:bCs/>
          <w:lang w:val="es-PA" w:eastAsia="es-PA"/>
        </w:rPr>
        <w:t xml:space="preserve"> </w:t>
      </w:r>
      <w:r w:rsidR="00880BD2" w:rsidRPr="00880BD2">
        <w:rPr>
          <w:rFonts w:eastAsia="SimSun"/>
          <w:bCs/>
          <w:i/>
          <w:lang w:val="es-PA" w:eastAsia="es-PA"/>
        </w:rPr>
        <w:t>(</w:t>
      </w:r>
      <w:proofErr w:type="spellStart"/>
      <w:r w:rsidR="00880BD2">
        <w:rPr>
          <w:rFonts w:eastAsia="SimSun"/>
          <w:i/>
          <w:iCs/>
          <w:lang w:val="es-PA" w:eastAsia="es-PA"/>
        </w:rPr>
        <w:t>Diphysa</w:t>
      </w:r>
      <w:proofErr w:type="spellEnd"/>
      <w:r w:rsidR="00880BD2">
        <w:rPr>
          <w:rFonts w:eastAsia="SimSun"/>
          <w:i/>
          <w:iCs/>
          <w:lang w:val="es-PA" w:eastAsia="es-PA"/>
        </w:rPr>
        <w:t xml:space="preserve"> </w:t>
      </w:r>
      <w:r w:rsidR="00880BD2">
        <w:rPr>
          <w:rFonts w:eastAsia="SimSun"/>
          <w:i/>
          <w:iCs/>
          <w:lang w:val="es-PA" w:eastAsia="es-PA"/>
        </w:rPr>
        <w:lastRenderedPageBreak/>
        <w:t xml:space="preserve">americana); </w:t>
      </w:r>
      <w:r w:rsidR="00880BD2">
        <w:rPr>
          <w:rFonts w:eastAsia="SimSun"/>
          <w:lang w:val="es-PA" w:eastAsia="es-PA"/>
        </w:rPr>
        <w:t xml:space="preserve">las especies del bosque de galería, tales como: </w:t>
      </w:r>
      <w:proofErr w:type="spellStart"/>
      <w:r w:rsidR="00880BD2">
        <w:rPr>
          <w:rFonts w:eastAsia="SimSun"/>
          <w:lang w:val="es-PA" w:eastAsia="es-PA"/>
        </w:rPr>
        <w:t>espave</w:t>
      </w:r>
      <w:proofErr w:type="spellEnd"/>
      <w:r w:rsidR="00880BD2">
        <w:rPr>
          <w:rFonts w:eastAsia="SimSun"/>
          <w:lang w:val="es-PA" w:eastAsia="es-PA"/>
        </w:rPr>
        <w:t xml:space="preserve"> (</w:t>
      </w:r>
      <w:proofErr w:type="spellStart"/>
      <w:r w:rsidR="00880BD2">
        <w:rPr>
          <w:rFonts w:eastAsia="SimSun"/>
          <w:i/>
          <w:iCs/>
          <w:lang w:val="es-PA" w:eastAsia="es-PA"/>
        </w:rPr>
        <w:t>Anacarium</w:t>
      </w:r>
      <w:proofErr w:type="spellEnd"/>
      <w:r w:rsidR="00880BD2">
        <w:rPr>
          <w:rFonts w:eastAsia="SimSun"/>
          <w:i/>
          <w:iCs/>
          <w:lang w:val="es-PA" w:eastAsia="es-PA"/>
        </w:rPr>
        <w:t xml:space="preserve"> </w:t>
      </w:r>
      <w:proofErr w:type="spellStart"/>
      <w:r w:rsidR="00880BD2">
        <w:rPr>
          <w:rFonts w:eastAsia="SimSun"/>
          <w:i/>
          <w:iCs/>
          <w:lang w:val="es-PA" w:eastAsia="es-PA"/>
        </w:rPr>
        <w:t>excelsum</w:t>
      </w:r>
      <w:proofErr w:type="spellEnd"/>
      <w:r w:rsidR="00880BD2">
        <w:rPr>
          <w:rFonts w:eastAsia="SimSun"/>
          <w:lang w:val="es-PA" w:eastAsia="es-PA"/>
        </w:rPr>
        <w:t xml:space="preserve">), </w:t>
      </w:r>
      <w:proofErr w:type="spellStart"/>
      <w:r w:rsidR="00880BD2">
        <w:rPr>
          <w:rFonts w:eastAsia="SimSun"/>
          <w:lang w:val="es-PA" w:eastAsia="es-PA"/>
        </w:rPr>
        <w:t>marañon</w:t>
      </w:r>
      <w:proofErr w:type="spellEnd"/>
      <w:r w:rsidR="00880BD2">
        <w:rPr>
          <w:rFonts w:eastAsia="SimSun"/>
          <w:lang w:val="es-PA" w:eastAsia="es-PA"/>
        </w:rPr>
        <w:t xml:space="preserve"> (</w:t>
      </w:r>
      <w:proofErr w:type="spellStart"/>
      <w:r w:rsidR="00880BD2">
        <w:rPr>
          <w:rFonts w:eastAsia="SimSun"/>
          <w:i/>
          <w:iCs/>
          <w:lang w:val="es-PA" w:eastAsia="es-PA"/>
        </w:rPr>
        <w:t>Anacardium</w:t>
      </w:r>
      <w:proofErr w:type="spellEnd"/>
      <w:r w:rsidR="00880BD2">
        <w:rPr>
          <w:rFonts w:eastAsia="SimSun"/>
          <w:i/>
          <w:iCs/>
          <w:lang w:val="es-PA" w:eastAsia="es-PA"/>
        </w:rPr>
        <w:t xml:space="preserve"> </w:t>
      </w:r>
      <w:proofErr w:type="spellStart"/>
      <w:r w:rsidR="00880BD2">
        <w:rPr>
          <w:rFonts w:eastAsia="SimSun"/>
          <w:i/>
          <w:iCs/>
          <w:lang w:val="es-PA" w:eastAsia="es-PA"/>
        </w:rPr>
        <w:t>occidentale</w:t>
      </w:r>
      <w:proofErr w:type="spellEnd"/>
      <w:r w:rsidR="00880BD2">
        <w:rPr>
          <w:rFonts w:eastAsia="SimSun"/>
          <w:i/>
          <w:iCs/>
          <w:lang w:val="es-PA" w:eastAsia="es-PA"/>
        </w:rPr>
        <w:t>),</w:t>
      </w:r>
      <w:r w:rsidR="00880BD2">
        <w:rPr>
          <w:rFonts w:eastAsia="SimSun"/>
          <w:lang w:val="es-PA" w:eastAsia="es-PA"/>
        </w:rPr>
        <w:t xml:space="preserve"> </w:t>
      </w:r>
      <w:r w:rsidR="00880BD2">
        <w:rPr>
          <w:rFonts w:eastAsia="SimSun"/>
          <w:iCs/>
          <w:lang w:val="es-PA" w:eastAsia="es-PA"/>
        </w:rPr>
        <w:t>almacig</w:t>
      </w:r>
      <w:r w:rsidR="00880BD2" w:rsidRPr="00880BD2">
        <w:rPr>
          <w:rFonts w:eastAsia="SimSun"/>
          <w:iCs/>
          <w:lang w:val="es-PA" w:eastAsia="es-PA"/>
        </w:rPr>
        <w:t>o</w:t>
      </w:r>
      <w:r w:rsidR="00880BD2">
        <w:rPr>
          <w:rFonts w:eastAsia="SimSun"/>
          <w:i/>
          <w:iCs/>
          <w:lang w:val="es-PA" w:eastAsia="es-PA"/>
        </w:rPr>
        <w:t xml:space="preserve"> (</w:t>
      </w:r>
      <w:proofErr w:type="spellStart"/>
      <w:r w:rsidR="00880BD2">
        <w:rPr>
          <w:rFonts w:eastAsia="SimSun"/>
          <w:i/>
          <w:iCs/>
          <w:lang w:val="es-PA" w:eastAsia="es-PA"/>
        </w:rPr>
        <w:t>Bursera</w:t>
      </w:r>
      <w:proofErr w:type="spellEnd"/>
      <w:r w:rsidR="00880BD2">
        <w:rPr>
          <w:rFonts w:eastAsia="SimSun"/>
          <w:i/>
          <w:iCs/>
          <w:lang w:val="es-PA" w:eastAsia="es-PA"/>
        </w:rPr>
        <w:t xml:space="preserve"> simaruba), </w:t>
      </w:r>
      <w:r w:rsidR="00880BD2" w:rsidRPr="00880BD2">
        <w:rPr>
          <w:rFonts w:eastAsia="SimSun"/>
          <w:iCs/>
          <w:lang w:val="es-PA" w:eastAsia="es-PA"/>
        </w:rPr>
        <w:t>mango</w:t>
      </w:r>
      <w:r w:rsidR="00880BD2">
        <w:rPr>
          <w:rFonts w:eastAsia="SimSun"/>
          <w:i/>
          <w:iCs/>
          <w:lang w:val="es-PA" w:eastAsia="es-PA"/>
        </w:rPr>
        <w:t xml:space="preserve"> (</w:t>
      </w:r>
      <w:proofErr w:type="spellStart"/>
      <w:r w:rsidR="00880BD2">
        <w:rPr>
          <w:rFonts w:eastAsia="SimSun"/>
          <w:i/>
          <w:iCs/>
          <w:lang w:val="es-PA" w:eastAsia="es-PA"/>
        </w:rPr>
        <w:t>Manguifera</w:t>
      </w:r>
      <w:proofErr w:type="spellEnd"/>
      <w:r w:rsidR="00880BD2">
        <w:rPr>
          <w:rFonts w:eastAsia="SimSun"/>
          <w:i/>
          <w:iCs/>
          <w:lang w:val="es-PA" w:eastAsia="es-PA"/>
        </w:rPr>
        <w:t xml:space="preserve"> indica), </w:t>
      </w:r>
      <w:r w:rsidR="00880BD2" w:rsidRPr="00880BD2">
        <w:rPr>
          <w:rFonts w:eastAsia="SimSun"/>
          <w:iCs/>
          <w:lang w:val="es-PA" w:eastAsia="es-PA"/>
        </w:rPr>
        <w:t xml:space="preserve">cedro </w:t>
      </w:r>
      <w:r w:rsidR="00880BD2">
        <w:rPr>
          <w:rFonts w:eastAsia="SimSun"/>
          <w:i/>
          <w:iCs/>
          <w:lang w:val="es-PA" w:eastAsia="es-PA"/>
        </w:rPr>
        <w:t>(</w:t>
      </w:r>
      <w:proofErr w:type="spellStart"/>
      <w:r w:rsidR="00880BD2">
        <w:rPr>
          <w:rFonts w:eastAsia="SimSun"/>
          <w:i/>
          <w:iCs/>
          <w:lang w:val="es-PA" w:eastAsia="es-PA"/>
        </w:rPr>
        <w:t>Cedrela</w:t>
      </w:r>
      <w:proofErr w:type="spellEnd"/>
      <w:r w:rsidR="00880BD2">
        <w:rPr>
          <w:rFonts w:eastAsia="SimSun"/>
          <w:i/>
          <w:iCs/>
          <w:lang w:val="es-PA" w:eastAsia="es-PA"/>
        </w:rPr>
        <w:t xml:space="preserve"> </w:t>
      </w:r>
      <w:proofErr w:type="spellStart"/>
      <w:r w:rsidR="00880BD2">
        <w:rPr>
          <w:rFonts w:eastAsia="SimSun"/>
          <w:i/>
          <w:iCs/>
          <w:lang w:val="es-PA" w:eastAsia="es-PA"/>
        </w:rPr>
        <w:t>sp</w:t>
      </w:r>
      <w:proofErr w:type="spellEnd"/>
      <w:r w:rsidR="00880BD2">
        <w:rPr>
          <w:rFonts w:eastAsia="SimSun"/>
          <w:i/>
          <w:iCs/>
          <w:lang w:val="es-PA" w:eastAsia="es-PA"/>
        </w:rPr>
        <w:t xml:space="preserve">.), </w:t>
      </w:r>
      <w:r w:rsidR="00880BD2" w:rsidRPr="00880BD2">
        <w:rPr>
          <w:rFonts w:eastAsia="SimSun"/>
          <w:iCs/>
          <w:lang w:val="es-PA" w:eastAsia="es-PA"/>
        </w:rPr>
        <w:t>palo santo</w:t>
      </w:r>
      <w:r w:rsidR="00880BD2">
        <w:rPr>
          <w:rFonts w:eastAsia="SimSun"/>
          <w:lang w:val="es-PA" w:eastAsia="es-PA"/>
        </w:rPr>
        <w:t xml:space="preserve"> </w:t>
      </w:r>
      <w:r w:rsidR="00880BD2">
        <w:rPr>
          <w:rFonts w:eastAsia="SimSun"/>
          <w:i/>
          <w:iCs/>
          <w:lang w:val="es-PA" w:eastAsia="es-PA"/>
        </w:rPr>
        <w:t>(</w:t>
      </w:r>
      <w:proofErr w:type="spellStart"/>
      <w:r w:rsidR="00880BD2">
        <w:rPr>
          <w:rFonts w:eastAsia="SimSun"/>
          <w:i/>
          <w:iCs/>
          <w:lang w:val="es-PA" w:eastAsia="es-PA"/>
        </w:rPr>
        <w:t>Erythrina</w:t>
      </w:r>
      <w:proofErr w:type="spellEnd"/>
      <w:r w:rsidR="00880BD2">
        <w:rPr>
          <w:rFonts w:eastAsia="SimSun"/>
          <w:i/>
          <w:iCs/>
          <w:lang w:val="es-PA" w:eastAsia="es-PA"/>
        </w:rPr>
        <w:t xml:space="preserve"> </w:t>
      </w:r>
      <w:proofErr w:type="spellStart"/>
      <w:r w:rsidR="00880BD2">
        <w:rPr>
          <w:rFonts w:eastAsia="SimSun"/>
          <w:i/>
          <w:iCs/>
          <w:lang w:val="es-PA" w:eastAsia="es-PA"/>
        </w:rPr>
        <w:t>sp</w:t>
      </w:r>
      <w:proofErr w:type="spellEnd"/>
      <w:r w:rsidR="00880BD2">
        <w:rPr>
          <w:rFonts w:eastAsia="SimSun"/>
          <w:i/>
          <w:iCs/>
          <w:lang w:val="es-PA" w:eastAsia="es-PA"/>
        </w:rPr>
        <w:t xml:space="preserve">.), </w:t>
      </w:r>
      <w:r w:rsidR="00880BD2" w:rsidRPr="00880BD2">
        <w:rPr>
          <w:rFonts w:eastAsia="SimSun"/>
          <w:iCs/>
          <w:lang w:val="es-PA" w:eastAsia="es-PA"/>
        </w:rPr>
        <w:t>especies de la familia</w:t>
      </w:r>
      <w:r w:rsidR="00880BD2">
        <w:rPr>
          <w:rFonts w:eastAsia="SimSun"/>
          <w:i/>
          <w:iCs/>
          <w:lang w:val="es-PA" w:eastAsia="es-PA"/>
        </w:rPr>
        <w:t xml:space="preserve"> </w:t>
      </w:r>
      <w:proofErr w:type="spellStart"/>
      <w:r w:rsidR="00880BD2">
        <w:rPr>
          <w:rFonts w:eastAsia="SimSun"/>
          <w:i/>
          <w:iCs/>
          <w:lang w:val="es-PA" w:eastAsia="es-PA"/>
        </w:rPr>
        <w:t>Annonaceae</w:t>
      </w:r>
      <w:proofErr w:type="spellEnd"/>
      <w:r w:rsidR="00880BD2">
        <w:rPr>
          <w:rFonts w:eastAsia="SimSun"/>
          <w:i/>
          <w:iCs/>
          <w:lang w:val="es-PA" w:eastAsia="es-PA"/>
        </w:rPr>
        <w:t xml:space="preserve">, </w:t>
      </w:r>
      <w:r w:rsidR="00880BD2" w:rsidRPr="00880BD2">
        <w:rPr>
          <w:rFonts w:eastAsia="SimSun"/>
          <w:iCs/>
          <w:lang w:val="es-PA" w:eastAsia="es-PA"/>
        </w:rPr>
        <w:t>pava</w:t>
      </w:r>
      <w:r w:rsidR="00880BD2">
        <w:rPr>
          <w:rFonts w:eastAsia="SimSun"/>
          <w:i/>
          <w:iCs/>
          <w:lang w:val="es-PA" w:eastAsia="es-PA"/>
        </w:rPr>
        <w:t xml:space="preserve"> (</w:t>
      </w:r>
      <w:proofErr w:type="spellStart"/>
      <w:r w:rsidR="00880BD2">
        <w:rPr>
          <w:rFonts w:eastAsia="SimSun"/>
          <w:i/>
          <w:iCs/>
          <w:lang w:val="es-PA" w:eastAsia="es-PA"/>
        </w:rPr>
        <w:t>Schefflera</w:t>
      </w:r>
      <w:proofErr w:type="spellEnd"/>
      <w:r w:rsidR="00880BD2">
        <w:rPr>
          <w:rFonts w:eastAsia="SimSun"/>
          <w:i/>
          <w:iCs/>
          <w:lang w:val="es-PA" w:eastAsia="es-PA"/>
        </w:rPr>
        <w:t xml:space="preserve"> </w:t>
      </w:r>
      <w:proofErr w:type="spellStart"/>
      <w:r w:rsidR="00880BD2">
        <w:rPr>
          <w:rFonts w:eastAsia="SimSun"/>
          <w:i/>
          <w:iCs/>
          <w:lang w:val="es-PA" w:eastAsia="es-PA"/>
        </w:rPr>
        <w:t>morototoni</w:t>
      </w:r>
      <w:proofErr w:type="spellEnd"/>
      <w:r w:rsidR="00880BD2">
        <w:rPr>
          <w:rFonts w:eastAsia="SimSun"/>
          <w:lang w:val="es-PA" w:eastAsia="es-PA"/>
        </w:rPr>
        <w:t>).</w:t>
      </w:r>
    </w:p>
    <w:p w:rsidR="00E80952" w:rsidRDefault="00E80952" w:rsidP="00E80952">
      <w:pPr>
        <w:autoSpaceDE w:val="0"/>
        <w:autoSpaceDN w:val="0"/>
        <w:adjustRightInd w:val="0"/>
        <w:spacing w:after="240" w:line="276" w:lineRule="auto"/>
        <w:jc w:val="both"/>
      </w:pPr>
    </w:p>
    <w:p w:rsidR="00880BD2" w:rsidRDefault="007C6D53" w:rsidP="00880BD2">
      <w:pPr>
        <w:autoSpaceDE w:val="0"/>
        <w:autoSpaceDN w:val="0"/>
        <w:adjustRightInd w:val="0"/>
        <w:spacing w:after="240" w:line="276" w:lineRule="auto"/>
        <w:jc w:val="both"/>
        <w:rPr>
          <w:b/>
        </w:rPr>
      </w:pPr>
      <w:r w:rsidRPr="00E245BA">
        <w:t xml:space="preserve">En cuanto a la fauna, según lo descrito en el EsIA, </w:t>
      </w:r>
      <w:r w:rsidR="00880BD2">
        <w:t>los terrenos del proyecto fueron usados en actividades agropecuarias por muchos años, en consecuencia, la fauna silvestre fue desplazada hacia zonas menos intervenidas por las acciones humanas y en la actualidad el terreno tiene vocación residencial</w:t>
      </w:r>
      <w:r w:rsidR="00880BD2">
        <w:rPr>
          <w:b/>
        </w:rPr>
        <w:t>.</w:t>
      </w:r>
    </w:p>
    <w:p w:rsidR="0086245C" w:rsidRPr="00127CF9" w:rsidRDefault="007C6D53" w:rsidP="00880BD2">
      <w:pPr>
        <w:autoSpaceDE w:val="0"/>
        <w:autoSpaceDN w:val="0"/>
        <w:adjustRightInd w:val="0"/>
        <w:spacing w:after="240" w:line="276" w:lineRule="auto"/>
        <w:jc w:val="both"/>
      </w:pPr>
      <w:r w:rsidRPr="00E245BA">
        <w:rPr>
          <w:b/>
        </w:rPr>
        <w:t xml:space="preserve">Componente Socioeconómico: </w:t>
      </w:r>
    </w:p>
    <w:p w:rsidR="0086245C" w:rsidRPr="00E245BA" w:rsidRDefault="007C6D53" w:rsidP="00E245BA">
      <w:pPr>
        <w:pStyle w:val="Default"/>
        <w:spacing w:after="240" w:line="276" w:lineRule="auto"/>
        <w:jc w:val="both"/>
        <w:rPr>
          <w:rFonts w:ascii="Times New Roman" w:hAnsi="Times New Roman" w:cs="Times New Roman"/>
        </w:rPr>
      </w:pPr>
      <w:r w:rsidRPr="00E245BA">
        <w:rPr>
          <w:rFonts w:ascii="Times New Roman" w:hAnsi="Times New Roman" w:cs="Times New Roman"/>
        </w:rPr>
        <w:t xml:space="preserve">En el EsIA, se indica que </w:t>
      </w:r>
      <w:r w:rsidR="00FA246B">
        <w:rPr>
          <w:rFonts w:ascii="Times New Roman" w:hAnsi="Times New Roman" w:cs="Times New Roman"/>
        </w:rPr>
        <w:t xml:space="preserve">la metodología utilizada para lograr la reacción ciudadana, con respecto al proyecto fueron las encuestas directas a las personas residentes a los alrededores del proyecto, se aplicaron </w:t>
      </w:r>
      <w:r w:rsidR="006D288D">
        <w:rPr>
          <w:rFonts w:ascii="Times New Roman" w:hAnsi="Times New Roman" w:cs="Times New Roman"/>
        </w:rPr>
        <w:t>1</w:t>
      </w:r>
      <w:r w:rsidR="004A597B">
        <w:rPr>
          <w:rFonts w:ascii="Times New Roman" w:hAnsi="Times New Roman" w:cs="Times New Roman"/>
        </w:rPr>
        <w:t>0</w:t>
      </w:r>
      <w:r w:rsidR="00FA246B">
        <w:rPr>
          <w:rFonts w:ascii="Times New Roman" w:hAnsi="Times New Roman" w:cs="Times New Roman"/>
        </w:rPr>
        <w:t xml:space="preserve"> encuestas, el </w:t>
      </w:r>
      <w:r w:rsidR="006D288D">
        <w:rPr>
          <w:rFonts w:ascii="Times New Roman" w:hAnsi="Times New Roman" w:cs="Times New Roman"/>
        </w:rPr>
        <w:t>31 de agosto</w:t>
      </w:r>
      <w:r w:rsidR="004A597B">
        <w:rPr>
          <w:rFonts w:ascii="Times New Roman" w:hAnsi="Times New Roman" w:cs="Times New Roman"/>
        </w:rPr>
        <w:t xml:space="preserve"> de 2019</w:t>
      </w:r>
      <w:r w:rsidR="00C50147" w:rsidRPr="00E245BA">
        <w:rPr>
          <w:rFonts w:ascii="Times New Roman" w:hAnsi="Times New Roman" w:cs="Times New Roman"/>
        </w:rPr>
        <w:t>,</w:t>
      </w:r>
      <w:r w:rsidR="00DD3456" w:rsidRPr="00E245BA">
        <w:rPr>
          <w:rFonts w:ascii="Times New Roman" w:hAnsi="Times New Roman" w:cs="Times New Roman"/>
        </w:rPr>
        <w:t xml:space="preserve"> dando como resultado lo siguiente: </w:t>
      </w:r>
    </w:p>
    <w:p w:rsidR="006D288D" w:rsidRDefault="006D288D" w:rsidP="006D288D">
      <w:pPr>
        <w:pStyle w:val="Default"/>
        <w:numPr>
          <w:ilvl w:val="0"/>
          <w:numId w:val="2"/>
        </w:numPr>
        <w:spacing w:line="276" w:lineRule="auto"/>
        <w:jc w:val="both"/>
        <w:rPr>
          <w:rFonts w:ascii="Times New Roman" w:hAnsi="Times New Roman" w:cs="Times New Roman"/>
        </w:rPr>
      </w:pPr>
      <w:r w:rsidRPr="006D288D">
        <w:rPr>
          <w:rFonts w:ascii="Times New Roman" w:hAnsi="Times New Roman" w:cs="Times New Roman"/>
        </w:rPr>
        <w:t xml:space="preserve">70% de las personas entrevistadas manifestaron </w:t>
      </w:r>
      <w:r>
        <w:rPr>
          <w:rFonts w:ascii="Times New Roman" w:hAnsi="Times New Roman" w:cs="Times New Roman"/>
        </w:rPr>
        <w:t>si</w:t>
      </w:r>
      <w:r w:rsidRPr="006D288D">
        <w:rPr>
          <w:rFonts w:ascii="Times New Roman" w:hAnsi="Times New Roman" w:cs="Times New Roman"/>
        </w:rPr>
        <w:t xml:space="preserve"> tener conocimiento del proyecto</w:t>
      </w:r>
      <w:r>
        <w:rPr>
          <w:rFonts w:ascii="Times New Roman" w:hAnsi="Times New Roman" w:cs="Times New Roman"/>
        </w:rPr>
        <w:t>,</w:t>
      </w:r>
    </w:p>
    <w:p w:rsidR="006D288D" w:rsidRPr="006D288D" w:rsidRDefault="006D288D" w:rsidP="006D288D">
      <w:pPr>
        <w:pStyle w:val="Default"/>
        <w:numPr>
          <w:ilvl w:val="0"/>
          <w:numId w:val="2"/>
        </w:numPr>
        <w:spacing w:line="276" w:lineRule="auto"/>
        <w:jc w:val="both"/>
        <w:rPr>
          <w:rFonts w:ascii="Times New Roman" w:hAnsi="Times New Roman" w:cs="Times New Roman"/>
        </w:rPr>
      </w:pPr>
      <w:r w:rsidRPr="006D288D">
        <w:rPr>
          <w:rFonts w:ascii="Times New Roman" w:hAnsi="Times New Roman" w:cs="Times New Roman"/>
        </w:rPr>
        <w:t>30% señalaron que desconocían sobre la realización o desarrollo de un proyecto de este tipo</w:t>
      </w:r>
    </w:p>
    <w:p w:rsidR="006D288D" w:rsidRDefault="006D288D" w:rsidP="006D288D">
      <w:pPr>
        <w:pStyle w:val="Default"/>
        <w:numPr>
          <w:ilvl w:val="0"/>
          <w:numId w:val="2"/>
        </w:numPr>
        <w:spacing w:line="276" w:lineRule="auto"/>
        <w:jc w:val="both"/>
        <w:rPr>
          <w:rFonts w:ascii="Times New Roman" w:hAnsi="Times New Roman" w:cs="Times New Roman"/>
        </w:rPr>
      </w:pPr>
      <w:r w:rsidRPr="006D288D">
        <w:rPr>
          <w:rFonts w:ascii="Times New Roman" w:hAnsi="Times New Roman" w:cs="Times New Roman"/>
        </w:rPr>
        <w:t>por el área</w:t>
      </w:r>
      <w:r>
        <w:rPr>
          <w:rFonts w:ascii="Times New Roman" w:hAnsi="Times New Roman" w:cs="Times New Roman"/>
        </w:rPr>
        <w:t>,</w:t>
      </w:r>
    </w:p>
    <w:p w:rsidR="006D288D" w:rsidRDefault="006D288D" w:rsidP="006D288D">
      <w:pPr>
        <w:pStyle w:val="Default"/>
        <w:numPr>
          <w:ilvl w:val="0"/>
          <w:numId w:val="2"/>
        </w:numPr>
        <w:spacing w:line="276" w:lineRule="auto"/>
        <w:jc w:val="both"/>
        <w:rPr>
          <w:rFonts w:ascii="Times New Roman" w:hAnsi="Times New Roman" w:cs="Times New Roman"/>
        </w:rPr>
      </w:pPr>
      <w:r w:rsidRPr="006D288D">
        <w:rPr>
          <w:rFonts w:ascii="Times New Roman" w:hAnsi="Times New Roman" w:cs="Times New Roman"/>
        </w:rPr>
        <w:t>90% de la población encuestada considera que</w:t>
      </w:r>
      <w:r>
        <w:rPr>
          <w:rFonts w:ascii="Times New Roman" w:hAnsi="Times New Roman" w:cs="Times New Roman"/>
        </w:rPr>
        <w:t xml:space="preserve"> </w:t>
      </w:r>
      <w:r w:rsidRPr="006D288D">
        <w:rPr>
          <w:rFonts w:ascii="Times New Roman" w:hAnsi="Times New Roman" w:cs="Times New Roman"/>
        </w:rPr>
        <w:t xml:space="preserve">el proyecto </w:t>
      </w:r>
      <w:r>
        <w:rPr>
          <w:rFonts w:ascii="Times New Roman" w:hAnsi="Times New Roman" w:cs="Times New Roman"/>
        </w:rPr>
        <w:t>no</w:t>
      </w:r>
      <w:r w:rsidRPr="006D288D">
        <w:rPr>
          <w:rFonts w:ascii="Times New Roman" w:hAnsi="Times New Roman" w:cs="Times New Roman"/>
        </w:rPr>
        <w:t xml:space="preserve"> provocará impactos ambientales a los recursos naturales del área</w:t>
      </w:r>
      <w:r w:rsidR="00496E9A">
        <w:rPr>
          <w:rFonts w:ascii="Times New Roman" w:hAnsi="Times New Roman" w:cs="Times New Roman"/>
        </w:rPr>
        <w:t xml:space="preserve">, </w:t>
      </w:r>
    </w:p>
    <w:p w:rsidR="00496E9A" w:rsidRPr="00496E9A" w:rsidRDefault="00496E9A" w:rsidP="00496E9A">
      <w:pPr>
        <w:pStyle w:val="Default"/>
        <w:numPr>
          <w:ilvl w:val="0"/>
          <w:numId w:val="2"/>
        </w:numPr>
        <w:spacing w:line="276" w:lineRule="auto"/>
        <w:jc w:val="both"/>
        <w:rPr>
          <w:rFonts w:ascii="Times New Roman" w:hAnsi="Times New Roman" w:cs="Times New Roman"/>
        </w:rPr>
      </w:pPr>
      <w:r w:rsidRPr="00496E9A">
        <w:rPr>
          <w:rFonts w:ascii="Times New Roman" w:hAnsi="Times New Roman" w:cs="Times New Roman"/>
        </w:rPr>
        <w:t>100% de las personas encuestadas opinaron que el desarrollo del proyecto es beneficioso para</w:t>
      </w:r>
    </w:p>
    <w:p w:rsidR="00496E9A" w:rsidRDefault="00496E9A" w:rsidP="00496E9A">
      <w:pPr>
        <w:pStyle w:val="Default"/>
        <w:numPr>
          <w:ilvl w:val="0"/>
          <w:numId w:val="2"/>
        </w:numPr>
        <w:spacing w:line="276" w:lineRule="auto"/>
        <w:jc w:val="both"/>
        <w:rPr>
          <w:rFonts w:ascii="Times New Roman" w:hAnsi="Times New Roman" w:cs="Times New Roman"/>
        </w:rPr>
      </w:pPr>
      <w:r w:rsidRPr="00496E9A">
        <w:rPr>
          <w:rFonts w:ascii="Times New Roman" w:hAnsi="Times New Roman" w:cs="Times New Roman"/>
        </w:rPr>
        <w:t>la comunidad por la generación de empleos</w:t>
      </w:r>
      <w:r>
        <w:rPr>
          <w:rFonts w:ascii="Times New Roman" w:hAnsi="Times New Roman" w:cs="Times New Roman"/>
        </w:rPr>
        <w:t xml:space="preserve">, </w:t>
      </w:r>
    </w:p>
    <w:p w:rsidR="00496E9A" w:rsidRPr="00496E9A" w:rsidRDefault="00496E9A" w:rsidP="00496E9A">
      <w:pPr>
        <w:pStyle w:val="Default"/>
        <w:numPr>
          <w:ilvl w:val="0"/>
          <w:numId w:val="2"/>
        </w:numPr>
        <w:spacing w:line="276" w:lineRule="auto"/>
        <w:jc w:val="both"/>
        <w:rPr>
          <w:rFonts w:ascii="Times New Roman" w:hAnsi="Times New Roman" w:cs="Times New Roman"/>
        </w:rPr>
      </w:pPr>
      <w:r w:rsidRPr="00496E9A">
        <w:rPr>
          <w:rFonts w:ascii="Times New Roman" w:hAnsi="Times New Roman" w:cs="Times New Roman"/>
        </w:rPr>
        <w:t>100% de los encuestados están de acuerdo con el desarrollo de la construcción del proyecto</w:t>
      </w:r>
      <w:r>
        <w:rPr>
          <w:rFonts w:ascii="Times New Roman" w:hAnsi="Times New Roman" w:cs="Times New Roman"/>
        </w:rPr>
        <w:t xml:space="preserve"> </w:t>
      </w:r>
      <w:r w:rsidRPr="00496E9A">
        <w:rPr>
          <w:rFonts w:ascii="Times New Roman" w:hAnsi="Times New Roman" w:cs="Times New Roman"/>
        </w:rPr>
        <w:t>URBANIZACIÓN VILLA VERDE</w:t>
      </w:r>
      <w:r>
        <w:rPr>
          <w:rFonts w:ascii="Times New Roman" w:hAnsi="Times New Roman" w:cs="Times New Roman"/>
        </w:rPr>
        <w:t xml:space="preserve">, </w:t>
      </w:r>
    </w:p>
    <w:p w:rsidR="00BB624C" w:rsidRDefault="00BB624C" w:rsidP="006D288D">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Entre las recomendaciones dadas por los entrevistados se destacan los siguientes:</w:t>
      </w:r>
    </w:p>
    <w:p w:rsidR="00496E9A" w:rsidRDefault="00496E9A" w:rsidP="00496E9A">
      <w:pPr>
        <w:pStyle w:val="Default"/>
        <w:numPr>
          <w:ilvl w:val="1"/>
          <w:numId w:val="2"/>
        </w:numPr>
        <w:spacing w:line="276" w:lineRule="auto"/>
        <w:jc w:val="both"/>
        <w:rPr>
          <w:rFonts w:ascii="Times New Roman" w:hAnsi="Times New Roman" w:cs="Times New Roman"/>
        </w:rPr>
      </w:pPr>
      <w:r w:rsidRPr="00496E9A">
        <w:rPr>
          <w:rFonts w:ascii="Times New Roman" w:hAnsi="Times New Roman" w:cs="Times New Roman"/>
        </w:rPr>
        <w:t>Contratar personal del área</w:t>
      </w:r>
    </w:p>
    <w:p w:rsidR="00496E9A" w:rsidRDefault="00496E9A" w:rsidP="00496E9A">
      <w:pPr>
        <w:pStyle w:val="Default"/>
        <w:numPr>
          <w:ilvl w:val="1"/>
          <w:numId w:val="2"/>
        </w:numPr>
        <w:spacing w:line="276" w:lineRule="auto"/>
        <w:jc w:val="both"/>
        <w:rPr>
          <w:rFonts w:ascii="Times New Roman" w:hAnsi="Times New Roman" w:cs="Times New Roman"/>
        </w:rPr>
      </w:pPr>
      <w:r w:rsidRPr="00496E9A">
        <w:rPr>
          <w:rFonts w:ascii="Times New Roman" w:hAnsi="Times New Roman" w:cs="Times New Roman"/>
        </w:rPr>
        <w:t xml:space="preserve"> Construir adecuadamente</w:t>
      </w:r>
    </w:p>
    <w:p w:rsidR="00496E9A" w:rsidRDefault="00496E9A" w:rsidP="00496E9A">
      <w:pPr>
        <w:pStyle w:val="Default"/>
        <w:numPr>
          <w:ilvl w:val="1"/>
          <w:numId w:val="2"/>
        </w:numPr>
        <w:spacing w:line="276" w:lineRule="auto"/>
        <w:jc w:val="both"/>
        <w:rPr>
          <w:rFonts w:ascii="Times New Roman" w:hAnsi="Times New Roman" w:cs="Times New Roman"/>
        </w:rPr>
      </w:pPr>
      <w:r w:rsidRPr="00496E9A">
        <w:rPr>
          <w:rFonts w:ascii="Times New Roman" w:hAnsi="Times New Roman" w:cs="Times New Roman"/>
        </w:rPr>
        <w:t xml:space="preserve"> No afectar la quebrada, ni dejar basura en el borde</w:t>
      </w:r>
    </w:p>
    <w:p w:rsidR="00496E9A" w:rsidRDefault="00496E9A" w:rsidP="00496E9A">
      <w:pPr>
        <w:pStyle w:val="Default"/>
        <w:numPr>
          <w:ilvl w:val="1"/>
          <w:numId w:val="2"/>
        </w:numPr>
        <w:spacing w:line="276" w:lineRule="auto"/>
        <w:jc w:val="both"/>
        <w:rPr>
          <w:rFonts w:ascii="Times New Roman" w:hAnsi="Times New Roman" w:cs="Times New Roman"/>
        </w:rPr>
      </w:pPr>
      <w:r w:rsidRPr="00496E9A">
        <w:rPr>
          <w:rFonts w:ascii="Times New Roman" w:hAnsi="Times New Roman" w:cs="Times New Roman"/>
        </w:rPr>
        <w:t>No talar el bosque de galería</w:t>
      </w:r>
    </w:p>
    <w:p w:rsidR="00496E9A" w:rsidRDefault="00496E9A" w:rsidP="00496E9A">
      <w:pPr>
        <w:pStyle w:val="Default"/>
        <w:numPr>
          <w:ilvl w:val="1"/>
          <w:numId w:val="2"/>
        </w:numPr>
        <w:spacing w:line="276" w:lineRule="auto"/>
        <w:jc w:val="both"/>
        <w:rPr>
          <w:rFonts w:ascii="Times New Roman" w:hAnsi="Times New Roman" w:cs="Times New Roman"/>
        </w:rPr>
      </w:pPr>
      <w:r w:rsidRPr="00496E9A">
        <w:rPr>
          <w:rFonts w:ascii="Times New Roman" w:hAnsi="Times New Roman" w:cs="Times New Roman"/>
        </w:rPr>
        <w:t xml:space="preserve"> Manejar adecuadamente la información del proyecto</w:t>
      </w:r>
    </w:p>
    <w:p w:rsidR="00496E9A" w:rsidRDefault="00496E9A" w:rsidP="00496E9A">
      <w:pPr>
        <w:pStyle w:val="Default"/>
        <w:numPr>
          <w:ilvl w:val="1"/>
          <w:numId w:val="2"/>
        </w:numPr>
        <w:spacing w:line="276" w:lineRule="auto"/>
        <w:jc w:val="both"/>
        <w:rPr>
          <w:rFonts w:ascii="Times New Roman" w:hAnsi="Times New Roman" w:cs="Times New Roman"/>
        </w:rPr>
      </w:pPr>
      <w:r w:rsidRPr="00496E9A">
        <w:rPr>
          <w:rFonts w:ascii="Times New Roman" w:hAnsi="Times New Roman" w:cs="Times New Roman"/>
        </w:rPr>
        <w:t>No perjudicar el ambiente</w:t>
      </w:r>
    </w:p>
    <w:p w:rsidR="00927487" w:rsidRDefault="00496E9A" w:rsidP="00496E9A">
      <w:pPr>
        <w:pStyle w:val="Default"/>
        <w:numPr>
          <w:ilvl w:val="1"/>
          <w:numId w:val="2"/>
        </w:numPr>
        <w:spacing w:line="276" w:lineRule="auto"/>
        <w:jc w:val="both"/>
        <w:rPr>
          <w:rFonts w:ascii="Times New Roman" w:hAnsi="Times New Roman" w:cs="Times New Roman"/>
        </w:rPr>
      </w:pPr>
      <w:r w:rsidRPr="00496E9A">
        <w:rPr>
          <w:rFonts w:ascii="Times New Roman" w:hAnsi="Times New Roman" w:cs="Times New Roman"/>
        </w:rPr>
        <w:t xml:space="preserve"> Dejar los árboles para áreas verdes y residencias</w:t>
      </w:r>
    </w:p>
    <w:p w:rsidR="00496E9A" w:rsidRPr="00496E9A" w:rsidRDefault="00496E9A" w:rsidP="00496E9A">
      <w:pPr>
        <w:pStyle w:val="Default"/>
        <w:spacing w:line="276" w:lineRule="auto"/>
        <w:ind w:left="1440"/>
        <w:jc w:val="both"/>
        <w:rPr>
          <w:rFonts w:ascii="Times New Roman" w:hAnsi="Times New Roman" w:cs="Times New Roman"/>
        </w:rPr>
      </w:pPr>
    </w:p>
    <w:p w:rsidR="00DA188D" w:rsidRDefault="00DA188D" w:rsidP="00FA1038">
      <w:pPr>
        <w:spacing w:line="276" w:lineRule="auto"/>
        <w:jc w:val="both"/>
        <w:outlineLvl w:val="0"/>
        <w:rPr>
          <w:rFonts w:eastAsia="SimSun"/>
          <w:color w:val="000000"/>
          <w:shd w:val="clear" w:color="auto" w:fill="FFFFFF"/>
        </w:rPr>
      </w:pPr>
      <w:r w:rsidRPr="00DA188D">
        <w:rPr>
          <w:rFonts w:eastAsia="SimSun"/>
          <w:color w:val="000000"/>
          <w:shd w:val="clear" w:color="auto" w:fill="FFFFFF"/>
        </w:rPr>
        <w:t xml:space="preserve">Hasta este punto, y de acuerdo a la evaluación y análisis del EsIA presentado se determinó que en el documento existían aspectos técnicos, que eran necesarios aclarar, por lo cual se solicitó al promotor la siguiente información mediante </w:t>
      </w:r>
      <w:r w:rsidR="00766518" w:rsidRPr="00766518">
        <w:rPr>
          <w:b/>
          <w:lang w:val="es-PA"/>
        </w:rPr>
        <w:t>NOTA-DRCH-AC-</w:t>
      </w:r>
      <w:r w:rsidR="00657BAF" w:rsidRPr="00657BAF">
        <w:rPr>
          <w:b/>
          <w:lang w:val="es-PA"/>
        </w:rPr>
        <w:t>1577-10-2019</w:t>
      </w:r>
      <w:r w:rsidR="00657BAF">
        <w:rPr>
          <w:b/>
          <w:lang w:val="es-PA"/>
        </w:rPr>
        <w:t xml:space="preserve"> </w:t>
      </w:r>
      <w:r w:rsidRPr="00DA188D">
        <w:rPr>
          <w:rFonts w:eastAsia="SimSun"/>
          <w:color w:val="000000"/>
          <w:shd w:val="clear" w:color="auto" w:fill="FFFFFF"/>
        </w:rPr>
        <w:t xml:space="preserve">del </w:t>
      </w:r>
      <w:r w:rsidR="00657BAF">
        <w:rPr>
          <w:lang w:val="es-PA"/>
        </w:rPr>
        <w:t>3 de octubre</w:t>
      </w:r>
      <w:r w:rsidR="00FA1038">
        <w:rPr>
          <w:lang w:val="es-PA"/>
        </w:rPr>
        <w:t xml:space="preserve"> </w:t>
      </w:r>
      <w:proofErr w:type="spellStart"/>
      <w:r w:rsidR="00FA1038">
        <w:rPr>
          <w:lang w:val="es-PA"/>
        </w:rPr>
        <w:t>de</w:t>
      </w:r>
      <w:proofErr w:type="spellEnd"/>
      <w:r w:rsidR="00FA1038">
        <w:rPr>
          <w:lang w:val="es-PA"/>
        </w:rPr>
        <w:t xml:space="preserve"> 2019</w:t>
      </w:r>
      <w:r w:rsidRPr="00DA188D">
        <w:rPr>
          <w:rFonts w:eastAsia="SimSun"/>
          <w:color w:val="000000"/>
          <w:shd w:val="clear" w:color="auto" w:fill="FFFFFF"/>
        </w:rPr>
        <w:t>, (</w:t>
      </w:r>
      <w:r w:rsidR="00766518">
        <w:rPr>
          <w:rFonts w:eastAsia="SimSun"/>
          <w:color w:val="000000"/>
          <w:shd w:val="clear" w:color="auto" w:fill="FFFFFF"/>
        </w:rPr>
        <w:t xml:space="preserve">ver el </w:t>
      </w:r>
      <w:r w:rsidRPr="00DA188D">
        <w:rPr>
          <w:rFonts w:eastAsia="SimSun"/>
          <w:color w:val="000000"/>
          <w:shd w:val="clear" w:color="auto" w:fill="FFFFFF"/>
          <w:lang w:val="es-PA"/>
        </w:rPr>
        <w:t xml:space="preserve"> expediente administrativo correspondiente)</w:t>
      </w:r>
      <w:r w:rsidRPr="00DA188D">
        <w:rPr>
          <w:rFonts w:eastAsia="SimSun"/>
          <w:color w:val="000000"/>
          <w:shd w:val="clear" w:color="auto" w:fill="FFFFFF"/>
        </w:rPr>
        <w:t>:</w:t>
      </w:r>
    </w:p>
    <w:p w:rsidR="00657BAF" w:rsidRPr="00657BAF" w:rsidRDefault="00657BAF" w:rsidP="00657BAF">
      <w:pPr>
        <w:numPr>
          <w:ilvl w:val="0"/>
          <w:numId w:val="17"/>
        </w:numPr>
        <w:spacing w:line="276" w:lineRule="auto"/>
        <w:contextualSpacing/>
        <w:jc w:val="both"/>
        <w:rPr>
          <w:b/>
        </w:rPr>
      </w:pPr>
      <w:r w:rsidRPr="00657BAF">
        <w:rPr>
          <w:lang w:val="es-PA"/>
        </w:rPr>
        <w:t xml:space="preserve">En la página 31 del EsIA presentado, en el punto </w:t>
      </w:r>
      <w:r w:rsidRPr="00657BAF">
        <w:rPr>
          <w:b/>
          <w:lang w:val="es-PA"/>
        </w:rPr>
        <w:t xml:space="preserve">6.2 Topografía, </w:t>
      </w:r>
      <w:r w:rsidRPr="00657BAF">
        <w:rPr>
          <w:lang w:val="es-PA"/>
        </w:rPr>
        <w:t xml:space="preserve">se describe lo siguiente: </w:t>
      </w:r>
      <w:r w:rsidRPr="00657BAF">
        <w:rPr>
          <w:i/>
          <w:lang w:val="es-PA"/>
        </w:rPr>
        <w:t>“el lote tiene una forma irregular con una topografía con pendientes poco pronunciadas”</w:t>
      </w:r>
      <w:r w:rsidRPr="00657BAF">
        <w:rPr>
          <w:lang w:val="es-PA"/>
        </w:rPr>
        <w:t xml:space="preserve"> y luego de la inspección realizada el día 17 de julio de 2019, al sitio donde se pretende desarrollar el proyecto, se observó que el terreno en mención tiene topografía irregular. Por lo tanto se le solicita lo siguiente: </w:t>
      </w:r>
    </w:p>
    <w:p w:rsidR="00657BAF" w:rsidRPr="00657BAF" w:rsidRDefault="00657BAF" w:rsidP="00657BAF">
      <w:pPr>
        <w:numPr>
          <w:ilvl w:val="0"/>
          <w:numId w:val="19"/>
        </w:numPr>
        <w:spacing w:line="276" w:lineRule="auto"/>
        <w:contextualSpacing/>
        <w:jc w:val="both"/>
        <w:rPr>
          <w:b/>
        </w:rPr>
      </w:pPr>
      <w:r w:rsidRPr="00657BAF">
        <w:rPr>
          <w:b/>
        </w:rPr>
        <w:t xml:space="preserve">Ampliar, </w:t>
      </w:r>
      <w:r w:rsidRPr="00657BAF">
        <w:t>si se llevaran a cabo trabajos de nivelación y/ o relleno del terreno.</w:t>
      </w:r>
    </w:p>
    <w:p w:rsidR="00657BAF" w:rsidRPr="00657BAF" w:rsidRDefault="00657BAF" w:rsidP="00657BAF">
      <w:pPr>
        <w:numPr>
          <w:ilvl w:val="0"/>
          <w:numId w:val="19"/>
        </w:numPr>
        <w:spacing w:line="276" w:lineRule="auto"/>
        <w:contextualSpacing/>
        <w:jc w:val="both"/>
        <w:rPr>
          <w:b/>
        </w:rPr>
      </w:pPr>
      <w:r w:rsidRPr="00657BAF">
        <w:rPr>
          <w:b/>
        </w:rPr>
        <w:t xml:space="preserve">Indicar y Georreferenciar, </w:t>
      </w:r>
      <w:r w:rsidRPr="00657BAF">
        <w:t xml:space="preserve">si se contara con sitios de disposición de material edáfico (botaderos) producto de los trabajos que se realizaran en el proyecto. </w:t>
      </w:r>
    </w:p>
    <w:p w:rsidR="00657BAF" w:rsidRPr="00657BAF" w:rsidRDefault="00657BAF" w:rsidP="00657BAF">
      <w:pPr>
        <w:spacing w:line="276" w:lineRule="auto"/>
        <w:ind w:left="1080"/>
        <w:contextualSpacing/>
        <w:jc w:val="both"/>
        <w:rPr>
          <w:b/>
        </w:rPr>
      </w:pPr>
    </w:p>
    <w:p w:rsidR="00657BAF" w:rsidRPr="00657BAF" w:rsidRDefault="00657BAF" w:rsidP="00657BAF">
      <w:pPr>
        <w:numPr>
          <w:ilvl w:val="0"/>
          <w:numId w:val="17"/>
        </w:numPr>
        <w:spacing w:line="276" w:lineRule="auto"/>
        <w:contextualSpacing/>
        <w:jc w:val="both"/>
        <w:rPr>
          <w:b/>
        </w:rPr>
      </w:pPr>
      <w:r w:rsidRPr="00657BAF">
        <w:t>En la página 141 del EsIA presentado, en el área de las Conclusiones del Estudio Hidrológico, se hace referencia a lo siguiente: “</w:t>
      </w:r>
      <w:r w:rsidRPr="00657BAF">
        <w:rPr>
          <w:i/>
        </w:rPr>
        <w:t xml:space="preserve">…se recomienda la construcción de un muro de un zampeado de concreto armado según el detalle típico establecido por el MOP…”. </w:t>
      </w:r>
      <w:r w:rsidRPr="00657BAF">
        <w:t>Tomando en consideración este aspecto se le solicita lo siguiente:</w:t>
      </w:r>
    </w:p>
    <w:p w:rsidR="00657BAF" w:rsidRPr="00657BAF" w:rsidRDefault="00657BAF" w:rsidP="00657BAF">
      <w:pPr>
        <w:numPr>
          <w:ilvl w:val="1"/>
          <w:numId w:val="17"/>
        </w:numPr>
        <w:spacing w:line="276" w:lineRule="auto"/>
        <w:contextualSpacing/>
        <w:jc w:val="both"/>
        <w:rPr>
          <w:b/>
        </w:rPr>
      </w:pPr>
      <w:r w:rsidRPr="00657BAF">
        <w:rPr>
          <w:b/>
        </w:rPr>
        <w:t>Indicar,</w:t>
      </w:r>
      <w:r w:rsidRPr="00657BAF">
        <w:t xml:space="preserve"> si se llevara a cabo dicha construcción de un muro de un zampeado de concreto armado y a su vez </w:t>
      </w:r>
      <w:r w:rsidRPr="00657BAF">
        <w:rPr>
          <w:b/>
        </w:rPr>
        <w:t>indicar</w:t>
      </w:r>
      <w:r w:rsidRPr="00657BAF">
        <w:t xml:space="preserve">, si la fuente hídrica se verá afectada por dichos trabajos, </w:t>
      </w:r>
    </w:p>
    <w:p w:rsidR="00657BAF" w:rsidRPr="00657BAF" w:rsidRDefault="00657BAF" w:rsidP="00657BAF">
      <w:pPr>
        <w:numPr>
          <w:ilvl w:val="1"/>
          <w:numId w:val="17"/>
        </w:numPr>
        <w:spacing w:line="276" w:lineRule="auto"/>
        <w:contextualSpacing/>
        <w:jc w:val="both"/>
        <w:rPr>
          <w:b/>
        </w:rPr>
      </w:pPr>
      <w:r w:rsidRPr="00657BAF">
        <w:rPr>
          <w:b/>
        </w:rPr>
        <w:lastRenderedPageBreak/>
        <w:t xml:space="preserve">Georreferenciar, </w:t>
      </w:r>
      <w:r w:rsidRPr="00657BAF">
        <w:t>las áreas donde se llevaran a cabo dichos trabajos.</w:t>
      </w:r>
    </w:p>
    <w:p w:rsidR="00766518" w:rsidRPr="000724C2" w:rsidRDefault="00766518" w:rsidP="00DB45CC">
      <w:pPr>
        <w:spacing w:line="276" w:lineRule="auto"/>
        <w:jc w:val="both"/>
        <w:outlineLvl w:val="1"/>
        <w:rPr>
          <w:rFonts w:eastAsia="Arial,Bold"/>
          <w:bCs/>
          <w:lang w:val="es-PA" w:eastAsia="en-US"/>
        </w:rPr>
      </w:pPr>
    </w:p>
    <w:p w:rsidR="00DA188D" w:rsidRDefault="00DA188D" w:rsidP="00E80F12">
      <w:pPr>
        <w:spacing w:line="276" w:lineRule="auto"/>
        <w:ind w:left="-142"/>
        <w:jc w:val="both"/>
        <w:outlineLvl w:val="1"/>
        <w:rPr>
          <w:rFonts w:eastAsia="SimSun"/>
          <w:color w:val="000000"/>
          <w:shd w:val="clear" w:color="auto" w:fill="FFFFFF"/>
        </w:rPr>
      </w:pPr>
      <w:r w:rsidRPr="00DA188D">
        <w:rPr>
          <w:rFonts w:eastAsia="SimSun"/>
          <w:color w:val="000000"/>
          <w:shd w:val="clear" w:color="auto" w:fill="FFFFFF"/>
        </w:rPr>
        <w:t>Una vez analizado, evaluado el Es</w:t>
      </w:r>
      <w:r w:rsidR="00945E98">
        <w:rPr>
          <w:rFonts w:eastAsia="SimSun"/>
          <w:color w:val="000000"/>
          <w:shd w:val="clear" w:color="auto" w:fill="FFFFFF"/>
        </w:rPr>
        <w:t>IA,</w:t>
      </w:r>
      <w:r w:rsidRPr="00DA188D">
        <w:rPr>
          <w:rFonts w:eastAsia="SimSun"/>
          <w:color w:val="000000"/>
          <w:shd w:val="clear" w:color="auto" w:fill="FFFFFF"/>
        </w:rPr>
        <w:t xml:space="preserve"> </w:t>
      </w:r>
      <w:r w:rsidR="0081428C">
        <w:rPr>
          <w:rFonts w:eastAsia="SimSun"/>
          <w:color w:val="000000"/>
          <w:shd w:val="clear" w:color="auto" w:fill="FFFFFF"/>
        </w:rPr>
        <w:t xml:space="preserve">la Declaración Jurada, </w:t>
      </w:r>
      <w:r w:rsidRPr="00DA188D">
        <w:rPr>
          <w:rFonts w:eastAsia="SimSun"/>
          <w:color w:val="000000"/>
          <w:shd w:val="clear" w:color="auto" w:fill="FFFFFF"/>
        </w:rPr>
        <w:t>la información complementaria, presentada por la empresa promotora,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E80F12" w:rsidRPr="00DA188D" w:rsidRDefault="00E80F12" w:rsidP="00E80F12">
      <w:pPr>
        <w:spacing w:line="276" w:lineRule="auto"/>
        <w:ind w:left="-142"/>
        <w:jc w:val="both"/>
        <w:outlineLvl w:val="1"/>
        <w:rPr>
          <w:rFonts w:eastAsia="SimSun"/>
          <w:color w:val="000000"/>
          <w:shd w:val="clear" w:color="auto" w:fill="FFFFFF"/>
        </w:rPr>
      </w:pPr>
    </w:p>
    <w:p w:rsidR="00DA188D" w:rsidRDefault="00DA188D" w:rsidP="00E80F12">
      <w:pPr>
        <w:spacing w:line="276" w:lineRule="auto"/>
        <w:ind w:left="-142"/>
        <w:jc w:val="both"/>
        <w:outlineLvl w:val="1"/>
        <w:rPr>
          <w:rFonts w:eastAsia="SimSun"/>
          <w:color w:val="000000"/>
          <w:shd w:val="clear" w:color="auto" w:fill="FFFFFF"/>
        </w:rPr>
      </w:pPr>
      <w:r w:rsidRPr="00DA188D">
        <w:rPr>
          <w:rFonts w:eastAsia="SimSun"/>
          <w:color w:val="000000"/>
          <w:shd w:val="clear" w:color="auto" w:fill="FFFFFF"/>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E80F12" w:rsidRPr="00DA188D" w:rsidRDefault="00E80F12" w:rsidP="00E80F12">
      <w:pPr>
        <w:spacing w:line="276" w:lineRule="auto"/>
        <w:ind w:left="-142"/>
        <w:jc w:val="both"/>
        <w:outlineLvl w:val="1"/>
        <w:rPr>
          <w:rFonts w:eastAsia="SimSun"/>
          <w:color w:val="000000"/>
          <w:shd w:val="clear" w:color="auto" w:fill="FFFFFF"/>
        </w:rPr>
      </w:pPr>
    </w:p>
    <w:p w:rsidR="0086245C" w:rsidRPr="00E245BA" w:rsidRDefault="007C6D53" w:rsidP="00E245BA">
      <w:pPr>
        <w:spacing w:after="240" w:line="360" w:lineRule="auto"/>
        <w:ind w:left="-142"/>
        <w:jc w:val="both"/>
        <w:outlineLvl w:val="1"/>
        <w:rPr>
          <w:spacing w:val="-3"/>
          <w:lang w:val="es-ES_tradnl"/>
        </w:rPr>
      </w:pPr>
      <w:r w:rsidRPr="00E245BA">
        <w:rPr>
          <w:spacing w:val="-3"/>
        </w:rPr>
        <w:t xml:space="preserve">En adición a las normativas aplicables al proyecto (página </w:t>
      </w:r>
      <w:r w:rsidR="00076517">
        <w:rPr>
          <w:spacing w:val="-3"/>
        </w:rPr>
        <w:t>19</w:t>
      </w:r>
      <w:r w:rsidRPr="00E245BA">
        <w:rPr>
          <w:spacing w:val="-3"/>
        </w:rPr>
        <w:t xml:space="preserve"> a la </w:t>
      </w:r>
      <w:r w:rsidR="00702D69">
        <w:rPr>
          <w:spacing w:val="-3"/>
        </w:rPr>
        <w:t>2</w:t>
      </w:r>
      <w:r w:rsidR="00076517">
        <w:rPr>
          <w:spacing w:val="-3"/>
        </w:rPr>
        <w:t>0</w:t>
      </w:r>
      <w:r w:rsidRPr="00E245BA">
        <w:rPr>
          <w:spacing w:val="-3"/>
        </w:rPr>
        <w:t xml:space="preserve"> del EsIA) y los compromisos contemplados en el mismo y el promotor tendrá que:</w:t>
      </w:r>
    </w:p>
    <w:p w:rsidR="00CC54AC" w:rsidRPr="00E245BA" w:rsidRDefault="00CC54AC" w:rsidP="00E245BA">
      <w:pPr>
        <w:pStyle w:val="Prrafodelista"/>
        <w:numPr>
          <w:ilvl w:val="0"/>
          <w:numId w:val="6"/>
        </w:numPr>
        <w:spacing w:after="240" w:line="276" w:lineRule="auto"/>
        <w:jc w:val="both"/>
      </w:pPr>
      <w:r w:rsidRPr="00E245BA">
        <w:t>Colocar, dentro del área del  Proyecto y antes de iniciar su ejecución, un letrero en un  lugar visible con el contenido establecido en formato adjunto.</w:t>
      </w:r>
    </w:p>
    <w:p w:rsidR="00DB45CC" w:rsidRDefault="00DB45CC" w:rsidP="00E245BA">
      <w:pPr>
        <w:pStyle w:val="Prrafodelista"/>
        <w:numPr>
          <w:ilvl w:val="0"/>
          <w:numId w:val="6"/>
        </w:numPr>
        <w:spacing w:after="240" w:line="276" w:lineRule="auto"/>
        <w:jc w:val="both"/>
      </w:pPr>
      <w:r w:rsidRPr="00DB45CC">
        <w:t xml:space="preserve">Presentar cada tres (3) meses durante la etapa de construcción </w:t>
      </w:r>
      <w:r w:rsidR="0014727C">
        <w:t>fase</w:t>
      </w:r>
      <w:r w:rsidRPr="00DB45CC">
        <w:t>,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CC54AC" w:rsidRPr="00E245BA" w:rsidRDefault="00CC54AC" w:rsidP="00E245BA">
      <w:pPr>
        <w:pStyle w:val="Prrafodelista"/>
        <w:numPr>
          <w:ilvl w:val="0"/>
          <w:numId w:val="6"/>
        </w:numPr>
        <w:spacing w:after="240" w:line="276" w:lineRule="auto"/>
        <w:jc w:val="both"/>
      </w:pPr>
      <w:r w:rsidRPr="00E245BA">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37387A" w:rsidRPr="00E245BA" w:rsidRDefault="0037387A" w:rsidP="00452A35">
      <w:pPr>
        <w:pStyle w:val="Prrafodelista"/>
        <w:numPr>
          <w:ilvl w:val="0"/>
          <w:numId w:val="6"/>
        </w:numPr>
        <w:jc w:val="both"/>
      </w:pPr>
      <w:r w:rsidRPr="00E245BA">
        <w:t>Notificar a la Dirección Regional de Chiriquí, de darse la presencia de alguna especie de fauna, la reubicación realizada de la misma, al costo del promotor e incluir dichos resultados en el correspondiente Informe de Seguimiento.</w:t>
      </w:r>
    </w:p>
    <w:p w:rsidR="00CC54AC" w:rsidRPr="00E245BA" w:rsidRDefault="00CC54AC" w:rsidP="00E245BA">
      <w:pPr>
        <w:pStyle w:val="Prrafodelista"/>
        <w:numPr>
          <w:ilvl w:val="0"/>
          <w:numId w:val="6"/>
        </w:numPr>
        <w:spacing w:after="240" w:line="276" w:lineRule="auto"/>
        <w:jc w:val="both"/>
      </w:pPr>
      <w:r w:rsidRPr="00E245BA">
        <w:t xml:space="preserve">Contar, previo inicio de construcción del proyecto, EL PROMOTOR, deberá contar con la aprobación del Sistema de recolección de aguas residuales, emitidas por la Autoridad competente. </w:t>
      </w:r>
    </w:p>
    <w:p w:rsidR="00CC54AC" w:rsidRDefault="00CC54AC" w:rsidP="00E245BA">
      <w:pPr>
        <w:pStyle w:val="Prrafodelista"/>
        <w:numPr>
          <w:ilvl w:val="0"/>
          <w:numId w:val="6"/>
        </w:numPr>
        <w:spacing w:after="240" w:line="276" w:lineRule="auto"/>
        <w:jc w:val="both"/>
      </w:pPr>
      <w:r w:rsidRPr="00E245BA">
        <w:t>Disponer en sitios autorizados los desechos sólidos y líquidos generados durante la etapa de construcción.</w:t>
      </w:r>
    </w:p>
    <w:p w:rsidR="00B86E4E" w:rsidRDefault="00B86E4E" w:rsidP="00E245BA">
      <w:pPr>
        <w:pStyle w:val="Prrafodelista"/>
        <w:numPr>
          <w:ilvl w:val="0"/>
          <w:numId w:val="6"/>
        </w:numPr>
        <w:spacing w:after="240" w:line="276" w:lineRule="auto"/>
        <w:jc w:val="both"/>
      </w:pPr>
      <w:r>
        <w:t>Cumplir con el Decreto Ley No. 35 de 22 de septiembre de 1996 “Reglamenta el Uso de las Aguas”</w:t>
      </w:r>
    </w:p>
    <w:p w:rsidR="00B86E4E" w:rsidRPr="00E245BA" w:rsidRDefault="00B86E4E" w:rsidP="00B86E4E">
      <w:pPr>
        <w:pStyle w:val="Prrafodelista"/>
        <w:numPr>
          <w:ilvl w:val="0"/>
          <w:numId w:val="6"/>
        </w:numPr>
        <w:spacing w:after="240" w:line="276" w:lineRule="auto"/>
        <w:jc w:val="both"/>
      </w:pPr>
      <w:r>
        <w:t xml:space="preserve">Cumplir con el Decreto Ejecutivo No. 70 de 27 de julio  de 1973 “Reglamenta sobre el otorgamiento de permisos y concesiones de agua, para el establecimiento del pozo dentro del proyecto. </w:t>
      </w:r>
    </w:p>
    <w:p w:rsidR="00CC54AC" w:rsidRPr="00C117D3" w:rsidRDefault="00CC54AC" w:rsidP="00910BE3">
      <w:pPr>
        <w:pStyle w:val="Prrafodelista"/>
        <w:numPr>
          <w:ilvl w:val="0"/>
          <w:numId w:val="6"/>
        </w:numPr>
        <w:spacing w:after="240" w:line="276" w:lineRule="auto"/>
        <w:jc w:val="both"/>
        <w:rPr>
          <w:lang w:val="es-PA"/>
        </w:rPr>
      </w:pPr>
      <w:r w:rsidRPr="00E245BA">
        <w:t>Cumplir con el Reglamento DGNTI-COPANIT-35-20</w:t>
      </w:r>
      <w:r w:rsidR="00910BE3">
        <w:t>19</w:t>
      </w:r>
      <w:r w:rsidRPr="00E245BA">
        <w:t xml:space="preserve"> “</w:t>
      </w:r>
      <w:r w:rsidR="00910BE3" w:rsidRPr="00910BE3">
        <w:rPr>
          <w:lang w:val="es-PA"/>
        </w:rPr>
        <w:t>Medio Ambiente y</w:t>
      </w:r>
      <w:r w:rsidR="00910BE3">
        <w:rPr>
          <w:lang w:val="es-PA"/>
        </w:rPr>
        <w:t xml:space="preserve"> </w:t>
      </w:r>
      <w:r w:rsidR="00910BE3" w:rsidRPr="00910BE3">
        <w:rPr>
          <w:lang w:val="es-PA"/>
        </w:rPr>
        <w:t>Protección de la Salud. Seguridad. Calidad del Agua. Descarga de efluentes líquidos a</w:t>
      </w:r>
      <w:r w:rsidR="00910BE3">
        <w:rPr>
          <w:lang w:val="es-PA"/>
        </w:rPr>
        <w:t xml:space="preserve"> </w:t>
      </w:r>
      <w:r w:rsidR="00910BE3" w:rsidRPr="00910BE3">
        <w:rPr>
          <w:lang w:val="es-PA"/>
        </w:rPr>
        <w:t>cuerpos y masas de aguas continentales y marinas</w:t>
      </w:r>
      <w:r w:rsidRPr="00E245BA">
        <w:t xml:space="preserve">”. </w:t>
      </w:r>
    </w:p>
    <w:p w:rsidR="00C117D3" w:rsidRDefault="00C117D3" w:rsidP="00C117D3">
      <w:pPr>
        <w:pStyle w:val="Prrafodelista"/>
        <w:numPr>
          <w:ilvl w:val="0"/>
          <w:numId w:val="6"/>
        </w:numPr>
        <w:jc w:val="both"/>
      </w:pPr>
      <w:r w:rsidRPr="00C117D3">
        <w:t>Cumplir con el Reglamento DGNTI-COPANIT 35-2000. Agua. Descarga de efluentes líquidos directamente a cuerpos y masas de agua superficiales y subterráneas”.</w:t>
      </w:r>
    </w:p>
    <w:p w:rsidR="00CC54AC" w:rsidRPr="00E245BA" w:rsidRDefault="00CC54AC" w:rsidP="00E32F45">
      <w:pPr>
        <w:pStyle w:val="Prrafodelista"/>
        <w:numPr>
          <w:ilvl w:val="0"/>
          <w:numId w:val="6"/>
        </w:numPr>
        <w:spacing w:after="240" w:line="276" w:lineRule="auto"/>
        <w:jc w:val="both"/>
      </w:pPr>
      <w:r w:rsidRPr="00E245BA">
        <w:t>Cumplir con el Reglamento DGNTI-COPANIT-44-2000 “Higiene y Seguridad Condiciones de higiene y seguridad en ambientes de trabajo donde se generen ruidos”</w:t>
      </w:r>
    </w:p>
    <w:p w:rsidR="00CC54AC" w:rsidRPr="00E245BA" w:rsidRDefault="00CC54AC" w:rsidP="00E32F45">
      <w:pPr>
        <w:pStyle w:val="Prrafodelista"/>
        <w:numPr>
          <w:ilvl w:val="0"/>
          <w:numId w:val="6"/>
        </w:numPr>
        <w:spacing w:after="240" w:line="276" w:lineRule="auto"/>
        <w:jc w:val="both"/>
      </w:pPr>
      <w:r w:rsidRPr="00E245BA">
        <w:t>Cumplir con el Reglamento DGNTI-COPANIT-45-2000 “Condiciones de higiene y seguridad en ambientes de trabajo donde se generen vibraciones”</w:t>
      </w:r>
    </w:p>
    <w:p w:rsidR="00CC54AC" w:rsidRPr="00E245BA" w:rsidRDefault="00CC54AC" w:rsidP="00E32F45">
      <w:pPr>
        <w:pStyle w:val="Prrafodelista"/>
        <w:numPr>
          <w:ilvl w:val="0"/>
          <w:numId w:val="6"/>
        </w:numPr>
        <w:spacing w:after="240" w:line="276" w:lineRule="auto"/>
        <w:jc w:val="both"/>
      </w:pPr>
      <w:r w:rsidRPr="00E245BA">
        <w:t>Cumplir con la Resolución N° 277 de 26 de octubre de 1990 “Sistemas de detección de alarmas de incendios”</w:t>
      </w:r>
    </w:p>
    <w:p w:rsidR="00CC54AC" w:rsidRDefault="00CC54AC" w:rsidP="00E32F45">
      <w:pPr>
        <w:pStyle w:val="Prrafodelista"/>
        <w:numPr>
          <w:ilvl w:val="0"/>
          <w:numId w:val="6"/>
        </w:numPr>
        <w:spacing w:line="276" w:lineRule="auto"/>
        <w:jc w:val="both"/>
      </w:pPr>
      <w:r w:rsidRPr="00E245BA">
        <w:t>Coordinar antes de inicio de la obra, con la autoridad competente, todo lo concerniente al transporte  de equipo hacia y desde los terrenos donde se realizará el proyecto, velando por el cuidado de las calles de acceso.</w:t>
      </w:r>
    </w:p>
    <w:p w:rsidR="00DA188D" w:rsidRPr="00FA0E9D" w:rsidRDefault="00DA188D" w:rsidP="00E32F45">
      <w:pPr>
        <w:pStyle w:val="Prrafodelista"/>
        <w:numPr>
          <w:ilvl w:val="0"/>
          <w:numId w:val="6"/>
        </w:numPr>
        <w:spacing w:after="200" w:line="276" w:lineRule="auto"/>
        <w:jc w:val="both"/>
      </w:pPr>
      <w:r>
        <w:lastRenderedPageBreak/>
        <w:t>C</w:t>
      </w:r>
      <w:r w:rsidRPr="00FA0E9D">
        <w:t>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DA188D" w:rsidRPr="00FA0E9D" w:rsidRDefault="00DA188D" w:rsidP="00E32F45">
      <w:pPr>
        <w:pStyle w:val="Prrafodelista"/>
        <w:numPr>
          <w:ilvl w:val="0"/>
          <w:numId w:val="6"/>
        </w:numPr>
        <w:spacing w:after="200" w:line="276" w:lineRule="auto"/>
        <w:jc w:val="both"/>
      </w:pPr>
      <w:r w:rsidRPr="00FA0E9D">
        <w:t>Colocar barreras físicas o cercas perimetrales provisionales, y mallas de protección, las cuales contribuirán a contener los ruidos, no afectar  a los transeúntes o las actividades humanas que se desarrollen cercanas a la zona y prevenir accidentes.</w:t>
      </w:r>
    </w:p>
    <w:p w:rsidR="00DA188D" w:rsidRPr="00FA0E9D" w:rsidRDefault="00DA188D" w:rsidP="00E32F45">
      <w:pPr>
        <w:pStyle w:val="Prrafodelista"/>
        <w:numPr>
          <w:ilvl w:val="0"/>
          <w:numId w:val="6"/>
        </w:numPr>
        <w:spacing w:after="200" w:line="276" w:lineRule="auto"/>
        <w:jc w:val="both"/>
      </w:pPr>
      <w:r w:rsidRPr="00FA0E9D">
        <w:t>El promotor está obligado a implementar medidas efectivas para el control de la erosión.</w:t>
      </w:r>
    </w:p>
    <w:p w:rsidR="00DA188D" w:rsidRPr="00FA0E9D" w:rsidRDefault="00DA188D" w:rsidP="00E32F45">
      <w:pPr>
        <w:pStyle w:val="Prrafodelista"/>
        <w:numPr>
          <w:ilvl w:val="0"/>
          <w:numId w:val="6"/>
        </w:numPr>
        <w:spacing w:line="276" w:lineRule="auto"/>
        <w:jc w:val="both"/>
      </w:pPr>
      <w:r w:rsidRPr="00FA0E9D">
        <w:rPr>
          <w:color w:val="000000"/>
          <w:spacing w:val="-3"/>
        </w:rPr>
        <w:t>El promotor deberá tomar en cuenta las recomendaciones emitidas por el consultor en el Estudio de Impacto Ambiental.</w:t>
      </w:r>
    </w:p>
    <w:p w:rsidR="00DA188D" w:rsidRPr="00D47BE5" w:rsidRDefault="00DA188D" w:rsidP="00E32F45">
      <w:pPr>
        <w:numPr>
          <w:ilvl w:val="0"/>
          <w:numId w:val="6"/>
        </w:numPr>
        <w:tabs>
          <w:tab w:val="left" w:pos="0"/>
        </w:tabs>
        <w:suppressAutoHyphens/>
        <w:ind w:right="11"/>
        <w:jc w:val="both"/>
      </w:pPr>
      <w:r w:rsidRPr="00D47BE5">
        <w:rPr>
          <w:rFonts w:eastAsia="Calibri"/>
          <w:iCs/>
          <w:spacing w:val="-3"/>
        </w:rPr>
        <w:t>Cumplir con la Ley Forestal (Ley 1 del 3 de febrero de 1994).</w:t>
      </w:r>
    </w:p>
    <w:p w:rsidR="00254A82" w:rsidRPr="00A64CC7" w:rsidRDefault="00254A82" w:rsidP="00E32F45">
      <w:pPr>
        <w:numPr>
          <w:ilvl w:val="0"/>
          <w:numId w:val="6"/>
        </w:numPr>
        <w:tabs>
          <w:tab w:val="left" w:pos="0"/>
        </w:tabs>
        <w:suppressAutoHyphens/>
        <w:ind w:right="11"/>
        <w:jc w:val="both"/>
      </w:pPr>
      <w:r w:rsidRPr="000A3A0B">
        <w:rPr>
          <w:rFonts w:eastAsia="Calibri"/>
          <w:iCs/>
          <w:spacing w:val="-3"/>
        </w:rPr>
        <w:t>Enriquecer, mantener, co</w:t>
      </w:r>
      <w:r>
        <w:rPr>
          <w:rFonts w:eastAsia="Calibri"/>
          <w:iCs/>
          <w:spacing w:val="-3"/>
        </w:rPr>
        <w:t xml:space="preserve">nservar el bosque de galería de la </w:t>
      </w:r>
      <w:r w:rsidR="00AB128B">
        <w:rPr>
          <w:rFonts w:eastAsia="Calibri"/>
          <w:iCs/>
          <w:spacing w:val="-3"/>
        </w:rPr>
        <w:t>fuente hídrica</w:t>
      </w:r>
      <w:r>
        <w:rPr>
          <w:rFonts w:eastAsia="Calibri"/>
          <w:iCs/>
          <w:spacing w:val="-3"/>
        </w:rPr>
        <w:t xml:space="preserve"> que se encuentra</w:t>
      </w:r>
      <w:r w:rsidR="00AB128B">
        <w:rPr>
          <w:rFonts w:eastAsia="Calibri"/>
          <w:iCs/>
          <w:spacing w:val="-3"/>
        </w:rPr>
        <w:t xml:space="preserve"> colindante</w:t>
      </w:r>
      <w:r>
        <w:rPr>
          <w:rFonts w:eastAsia="Calibri"/>
          <w:iCs/>
          <w:spacing w:val="-3"/>
        </w:rPr>
        <w:t xml:space="preserve"> </w:t>
      </w:r>
      <w:r w:rsidR="00DB45CC">
        <w:rPr>
          <w:rFonts w:eastAsia="Calibri"/>
          <w:iCs/>
          <w:spacing w:val="-3"/>
        </w:rPr>
        <w:t>al</w:t>
      </w:r>
      <w:r>
        <w:rPr>
          <w:rFonts w:eastAsia="Calibri"/>
          <w:iCs/>
          <w:spacing w:val="-3"/>
        </w:rPr>
        <w:t xml:space="preserve"> proyecto. </w:t>
      </w:r>
    </w:p>
    <w:p w:rsidR="00A64CC7" w:rsidRPr="00A64CC7" w:rsidRDefault="00A64CC7" w:rsidP="00E32F45">
      <w:pPr>
        <w:pStyle w:val="Prrafodelista"/>
        <w:numPr>
          <w:ilvl w:val="0"/>
          <w:numId w:val="6"/>
        </w:numPr>
      </w:pPr>
      <w:r>
        <w:t>E</w:t>
      </w:r>
      <w:r w:rsidRPr="00A64CC7">
        <w:t xml:space="preserve">n caso de requerir realizar trabajos de nivelación y/o relleno del terreno, deberá acogerse al instrumento de gestión ambiental correspondiente para tal fin. </w:t>
      </w:r>
    </w:p>
    <w:p w:rsidR="00A64CC7" w:rsidRPr="000A3A0B" w:rsidRDefault="00A64CC7" w:rsidP="00E32F45">
      <w:pPr>
        <w:numPr>
          <w:ilvl w:val="0"/>
          <w:numId w:val="6"/>
        </w:numPr>
        <w:tabs>
          <w:tab w:val="left" w:pos="0"/>
        </w:tabs>
        <w:suppressAutoHyphens/>
        <w:ind w:right="11"/>
        <w:jc w:val="both"/>
      </w:pPr>
      <w:r>
        <w:rPr>
          <w:rFonts w:eastAsia="Arial,Bold"/>
          <w:bCs/>
          <w:lang w:eastAsia="en-US"/>
        </w:rPr>
        <w:t>S</w:t>
      </w:r>
      <w:r w:rsidRPr="0064392E">
        <w:rPr>
          <w:rFonts w:eastAsia="Arial,Bold"/>
          <w:bCs/>
          <w:lang w:val="es-PA" w:eastAsia="en-US"/>
        </w:rPr>
        <w:t xml:space="preserve">eguir las recomendaciones emitidas por parte del profesional idóneo que elaboro el Estudio Hidrológico – Hidráulico para el proyecto Urbanización </w:t>
      </w:r>
      <w:r w:rsidR="00AB128B">
        <w:rPr>
          <w:rFonts w:eastAsia="Arial,Bold"/>
          <w:bCs/>
          <w:lang w:val="es-PA" w:eastAsia="en-US"/>
        </w:rPr>
        <w:t>Villa Verde</w:t>
      </w:r>
    </w:p>
    <w:p w:rsidR="008A5E01" w:rsidRDefault="008A5E01" w:rsidP="00E32F45">
      <w:pPr>
        <w:pStyle w:val="Prrafodelista"/>
        <w:numPr>
          <w:ilvl w:val="0"/>
          <w:numId w:val="6"/>
        </w:numPr>
        <w:autoSpaceDE w:val="0"/>
        <w:autoSpaceDN w:val="0"/>
        <w:adjustRightInd w:val="0"/>
        <w:spacing w:line="276" w:lineRule="auto"/>
        <w:jc w:val="both"/>
        <w:rPr>
          <w:rFonts w:eastAsiaTheme="minorHAnsi"/>
          <w:bCs/>
        </w:rPr>
      </w:pPr>
      <w:r>
        <w:rPr>
          <w:rFonts w:eastAsiaTheme="minorHAnsi"/>
          <w:bCs/>
        </w:rPr>
        <w:t>Cumplir con lo indicado por el Sistema Nacional de Protección Civil, a través del Informe SINAPROC-DPM-</w:t>
      </w:r>
      <w:r w:rsidR="00AB128B">
        <w:rPr>
          <w:rFonts w:eastAsiaTheme="minorHAnsi"/>
          <w:bCs/>
        </w:rPr>
        <w:t>341</w:t>
      </w:r>
      <w:r w:rsidR="00A64CC7">
        <w:rPr>
          <w:rFonts w:eastAsiaTheme="minorHAnsi"/>
          <w:bCs/>
        </w:rPr>
        <w:t>/</w:t>
      </w:r>
      <w:r w:rsidR="00AB128B">
        <w:rPr>
          <w:rFonts w:eastAsiaTheme="minorHAnsi"/>
          <w:bCs/>
        </w:rPr>
        <w:t>15</w:t>
      </w:r>
      <w:r w:rsidR="00A64CC7">
        <w:rPr>
          <w:rFonts w:eastAsiaTheme="minorHAnsi"/>
          <w:bCs/>
        </w:rPr>
        <w:t>-10-2018</w:t>
      </w:r>
      <w:r w:rsidR="00E6315F">
        <w:rPr>
          <w:rFonts w:eastAsiaTheme="minorHAnsi"/>
          <w:bCs/>
        </w:rPr>
        <w:t xml:space="preserve">, </w:t>
      </w:r>
    </w:p>
    <w:p w:rsidR="00EE1E2D" w:rsidRDefault="00EE1E2D" w:rsidP="00E32F45">
      <w:pPr>
        <w:pStyle w:val="Prrafodelista"/>
        <w:numPr>
          <w:ilvl w:val="0"/>
          <w:numId w:val="6"/>
        </w:numPr>
        <w:autoSpaceDE w:val="0"/>
        <w:autoSpaceDN w:val="0"/>
        <w:adjustRightInd w:val="0"/>
        <w:spacing w:line="276" w:lineRule="auto"/>
        <w:jc w:val="both"/>
        <w:rPr>
          <w:rFonts w:eastAsiaTheme="minorHAnsi"/>
          <w:bCs/>
        </w:rPr>
      </w:pPr>
      <w:r>
        <w:rPr>
          <w:rFonts w:eastAsiaTheme="minorHAnsi"/>
          <w:bCs/>
        </w:rPr>
        <w:t>Cumplir con el  Manual de Especificaciones Ambientales del Ministerio de Obras Públicas</w:t>
      </w:r>
    </w:p>
    <w:p w:rsidR="00496AAE" w:rsidRPr="00496AAE" w:rsidRDefault="00496AAE" w:rsidP="00496AAE">
      <w:pPr>
        <w:pStyle w:val="Prrafodelista"/>
        <w:numPr>
          <w:ilvl w:val="0"/>
          <w:numId w:val="6"/>
        </w:numPr>
        <w:tabs>
          <w:tab w:val="left" w:pos="0"/>
        </w:tabs>
        <w:suppressAutoHyphens/>
        <w:autoSpaceDE w:val="0"/>
        <w:autoSpaceDN w:val="0"/>
        <w:adjustRightInd w:val="0"/>
        <w:spacing w:line="276" w:lineRule="auto"/>
        <w:jc w:val="both"/>
      </w:pPr>
      <w:r w:rsidRPr="00496AAE">
        <w:rPr>
          <w:rFonts w:eastAsiaTheme="minorHAnsi"/>
          <w:bCs/>
        </w:rPr>
        <w:t xml:space="preserve">Cumplir con el Decreto No. 55 de 1973, </w:t>
      </w:r>
      <w:r>
        <w:rPr>
          <w:rFonts w:eastAsiaTheme="minorHAnsi"/>
          <w:bCs/>
        </w:rPr>
        <w:t>“</w:t>
      </w:r>
      <w:r w:rsidRPr="00496AAE">
        <w:rPr>
          <w:rFonts w:eastAsiaTheme="minorHAnsi"/>
          <w:bCs/>
        </w:rPr>
        <w:t>POR EL CUAL SE REGLAMENTAN LAS SERVIDUMBRES EN MATERIA DE AGUAS</w:t>
      </w:r>
      <w:r>
        <w:rPr>
          <w:rFonts w:eastAsiaTheme="minorHAnsi"/>
          <w:bCs/>
        </w:rPr>
        <w:t>”</w:t>
      </w:r>
    </w:p>
    <w:p w:rsidR="002C6F91" w:rsidRPr="00E245BA" w:rsidRDefault="002C6F91" w:rsidP="00496AAE">
      <w:pPr>
        <w:pStyle w:val="Prrafodelista"/>
        <w:numPr>
          <w:ilvl w:val="0"/>
          <w:numId w:val="6"/>
        </w:numPr>
        <w:tabs>
          <w:tab w:val="left" w:pos="0"/>
        </w:tabs>
        <w:suppressAutoHyphens/>
        <w:autoSpaceDE w:val="0"/>
        <w:autoSpaceDN w:val="0"/>
        <w:adjustRightInd w:val="0"/>
        <w:spacing w:line="276" w:lineRule="auto"/>
        <w:jc w:val="both"/>
      </w:pPr>
      <w:r w:rsidRPr="00E245BA">
        <w:t>Ejecutar un plan de cierre de la obra al culminar la construcción con el cual se restauren todos los sitios o frentes de construcción, se eliminen todo tipo de desechos, equipos, insumos, e incluir los resultados en el informe de seguimiento correspondiente.</w:t>
      </w:r>
    </w:p>
    <w:p w:rsidR="002C6F91" w:rsidRPr="00E245BA" w:rsidRDefault="002C6F91" w:rsidP="00E32F45">
      <w:pPr>
        <w:numPr>
          <w:ilvl w:val="0"/>
          <w:numId w:val="6"/>
        </w:numPr>
        <w:tabs>
          <w:tab w:val="left" w:pos="0"/>
        </w:tabs>
        <w:suppressAutoHyphens/>
        <w:spacing w:line="276" w:lineRule="auto"/>
        <w:jc w:val="both"/>
      </w:pPr>
      <w:r w:rsidRPr="00E245BA">
        <w:t>Mantener informada a la comunidad de los trabajos a ejecutar, señalizar el área de manera continua hasta la culminación de los trabajos, con letreros informativos y preventivos, con la finalidad de evitar accidentes.</w:t>
      </w:r>
    </w:p>
    <w:p w:rsidR="002C6F91" w:rsidRPr="00E245BA" w:rsidRDefault="002C6F91" w:rsidP="00E32F45">
      <w:pPr>
        <w:numPr>
          <w:ilvl w:val="0"/>
          <w:numId w:val="6"/>
        </w:numPr>
        <w:tabs>
          <w:tab w:val="left" w:pos="0"/>
        </w:tabs>
        <w:suppressAutoHyphens/>
        <w:spacing w:line="276" w:lineRule="auto"/>
        <w:jc w:val="both"/>
      </w:pPr>
      <w:r w:rsidRPr="00E245BA">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A64CC7" w:rsidRDefault="00CC54AC" w:rsidP="00E32F45">
      <w:pPr>
        <w:pStyle w:val="Prrafodelista"/>
        <w:numPr>
          <w:ilvl w:val="0"/>
          <w:numId w:val="6"/>
        </w:numPr>
        <w:spacing w:after="240" w:line="276" w:lineRule="auto"/>
        <w:jc w:val="both"/>
      </w:pPr>
      <w:r w:rsidRPr="00E245BA">
        <w:t>Cualquier conflicto que se presente, en lo que respecta a la población afectada por el desarrollo del proyecto, el promotor actuará siempre mostrando su mejor disposición a conciliar con las partes actuando de buena fe.</w:t>
      </w:r>
    </w:p>
    <w:p w:rsidR="00A64CC7" w:rsidRPr="00E245BA" w:rsidRDefault="00A64CC7" w:rsidP="00A64CC7">
      <w:pPr>
        <w:pStyle w:val="Prrafodelista"/>
        <w:spacing w:after="240" w:line="276" w:lineRule="auto"/>
        <w:jc w:val="both"/>
      </w:pPr>
    </w:p>
    <w:p w:rsidR="0086245C" w:rsidRPr="00A64CC7" w:rsidRDefault="007C6D53" w:rsidP="00A64CC7">
      <w:pPr>
        <w:pStyle w:val="Prrafodelista"/>
        <w:numPr>
          <w:ilvl w:val="0"/>
          <w:numId w:val="1"/>
        </w:numPr>
        <w:tabs>
          <w:tab w:val="left" w:pos="-1890"/>
        </w:tabs>
        <w:autoSpaceDE w:val="0"/>
        <w:autoSpaceDN w:val="0"/>
        <w:adjustRightInd w:val="0"/>
        <w:spacing w:after="240" w:line="276" w:lineRule="auto"/>
        <w:jc w:val="both"/>
        <w:rPr>
          <w:b/>
        </w:rPr>
      </w:pPr>
      <w:r w:rsidRPr="00A64CC7">
        <w:rPr>
          <w:b/>
        </w:rPr>
        <w:t>CONCLUSIONES</w:t>
      </w:r>
    </w:p>
    <w:p w:rsidR="0086245C" w:rsidRPr="00E245BA" w:rsidRDefault="007C6D53" w:rsidP="00E245BA">
      <w:pPr>
        <w:spacing w:beforeLines="20" w:before="48" w:afterLines="20" w:after="48" w:line="276" w:lineRule="auto"/>
        <w:jc w:val="both"/>
        <w:rPr>
          <w:color w:val="000000"/>
        </w:rPr>
      </w:pPr>
      <w:r w:rsidRPr="00E245BA">
        <w:rPr>
          <w:color w:val="000000"/>
        </w:rPr>
        <w:t>Una vez  revisado el Estudio de Impacto Ambiental y la Declaración Jurada adjunta, se concluye lo siguiente:</w:t>
      </w:r>
    </w:p>
    <w:p w:rsidR="0086245C" w:rsidRPr="00E245BA" w:rsidRDefault="007C6D53" w:rsidP="00E245BA">
      <w:pPr>
        <w:numPr>
          <w:ilvl w:val="0"/>
          <w:numId w:val="7"/>
        </w:numPr>
        <w:shd w:val="clear" w:color="auto" w:fill="FFFFFF"/>
        <w:spacing w:beforeLines="20" w:before="48" w:afterLines="20" w:after="48" w:line="276" w:lineRule="auto"/>
        <w:jc w:val="both"/>
      </w:pPr>
      <w:r w:rsidRPr="00E245BA">
        <w:t xml:space="preserve">El Estudio de Impacto Ambiental </w:t>
      </w:r>
      <w:r w:rsidRPr="00E245BA">
        <w:rPr>
          <w:color w:val="000000"/>
        </w:rPr>
        <w:t xml:space="preserve">cumple con los requisitos mínimos establecidos en el </w:t>
      </w:r>
      <w:r w:rsidRPr="00E245BA">
        <w:rPr>
          <w:bCs/>
        </w:rPr>
        <w:t xml:space="preserve">artículo 26 del </w:t>
      </w:r>
      <w:r w:rsidRPr="00E245BA">
        <w:rPr>
          <w:color w:val="000000"/>
        </w:rPr>
        <w:t>Decreto Ejecutivo No.123 de 14 de agosto de 2009.</w:t>
      </w:r>
    </w:p>
    <w:p w:rsidR="0086245C" w:rsidRPr="00E245BA" w:rsidRDefault="007C6D53" w:rsidP="00E245BA">
      <w:pPr>
        <w:numPr>
          <w:ilvl w:val="0"/>
          <w:numId w:val="7"/>
        </w:numPr>
        <w:tabs>
          <w:tab w:val="left" w:pos="0"/>
          <w:tab w:val="left" w:pos="720"/>
        </w:tabs>
        <w:suppressAutoHyphens/>
        <w:spacing w:after="240" w:line="276" w:lineRule="auto"/>
        <w:jc w:val="both"/>
      </w:pPr>
      <w:r w:rsidRPr="00E245BA">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86245C" w:rsidRPr="00E245BA" w:rsidRDefault="007C6D53" w:rsidP="00A64CC7">
      <w:pPr>
        <w:numPr>
          <w:ilvl w:val="0"/>
          <w:numId w:val="1"/>
        </w:numPr>
        <w:tabs>
          <w:tab w:val="left" w:pos="-1890"/>
        </w:tabs>
        <w:autoSpaceDE w:val="0"/>
        <w:autoSpaceDN w:val="0"/>
        <w:adjustRightInd w:val="0"/>
        <w:spacing w:after="240" w:line="276" w:lineRule="auto"/>
        <w:ind w:left="360"/>
        <w:jc w:val="both"/>
        <w:rPr>
          <w:b/>
        </w:rPr>
      </w:pPr>
      <w:r w:rsidRPr="00E245BA">
        <w:rPr>
          <w:b/>
        </w:rPr>
        <w:t>RECOMENDACIONES</w:t>
      </w:r>
    </w:p>
    <w:p w:rsidR="0086245C" w:rsidRPr="00E245BA" w:rsidRDefault="007C6D53" w:rsidP="00E245BA">
      <w:pPr>
        <w:pStyle w:val="Prrafodelista1"/>
        <w:numPr>
          <w:ilvl w:val="0"/>
          <w:numId w:val="8"/>
        </w:numPr>
        <w:tabs>
          <w:tab w:val="left" w:pos="0"/>
        </w:tabs>
        <w:suppressAutoHyphens/>
        <w:spacing w:after="240"/>
        <w:ind w:left="714" w:right="102" w:hanging="357"/>
        <w:jc w:val="both"/>
        <w:rPr>
          <w:rFonts w:ascii="Times New Roman" w:hAnsi="Times New Roman"/>
          <w:sz w:val="24"/>
          <w:szCs w:val="24"/>
        </w:rPr>
      </w:pPr>
      <w:r w:rsidRPr="00E245BA">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86245C" w:rsidRPr="00E245BA" w:rsidRDefault="0086245C" w:rsidP="00E245BA">
      <w:pPr>
        <w:pStyle w:val="Prrafodelista1"/>
        <w:tabs>
          <w:tab w:val="left" w:pos="0"/>
        </w:tabs>
        <w:suppressAutoHyphens/>
        <w:spacing w:after="240"/>
        <w:ind w:left="714" w:right="102"/>
        <w:jc w:val="both"/>
        <w:rPr>
          <w:rFonts w:ascii="Times New Roman" w:hAnsi="Times New Roman"/>
          <w:sz w:val="24"/>
          <w:szCs w:val="24"/>
        </w:rPr>
      </w:pPr>
    </w:p>
    <w:p w:rsidR="0086245C" w:rsidRPr="00E245BA" w:rsidRDefault="007C6D53" w:rsidP="00E245BA">
      <w:pPr>
        <w:pStyle w:val="Prrafodelista1"/>
        <w:numPr>
          <w:ilvl w:val="0"/>
          <w:numId w:val="8"/>
        </w:numPr>
        <w:tabs>
          <w:tab w:val="left" w:pos="0"/>
        </w:tabs>
        <w:suppressAutoHyphens/>
        <w:spacing w:after="240"/>
        <w:ind w:left="714" w:right="102" w:hanging="357"/>
        <w:jc w:val="both"/>
        <w:rPr>
          <w:rFonts w:ascii="Times New Roman" w:hAnsi="Times New Roman"/>
          <w:sz w:val="24"/>
          <w:szCs w:val="24"/>
        </w:rPr>
      </w:pPr>
      <w:r w:rsidRPr="00E245BA">
        <w:rPr>
          <w:rFonts w:ascii="Times New Roman" w:hAnsi="Times New Roman"/>
          <w:color w:val="000000"/>
          <w:spacing w:val="-3"/>
          <w:sz w:val="24"/>
          <w:szCs w:val="24"/>
        </w:rPr>
        <w:lastRenderedPageBreak/>
        <w:t xml:space="preserve">Luego de la evaluación integral e interinstitucional, se recomienda </w:t>
      </w:r>
      <w:r w:rsidRPr="00E245BA">
        <w:rPr>
          <w:rFonts w:ascii="Times New Roman" w:hAnsi="Times New Roman"/>
          <w:b/>
          <w:color w:val="000000"/>
          <w:spacing w:val="-3"/>
          <w:sz w:val="24"/>
          <w:szCs w:val="24"/>
        </w:rPr>
        <w:t>APROBAR</w:t>
      </w:r>
      <w:r w:rsidRPr="00E245BA">
        <w:rPr>
          <w:rFonts w:ascii="Times New Roman" w:hAnsi="Times New Roman"/>
          <w:color w:val="000000"/>
          <w:spacing w:val="-3"/>
          <w:sz w:val="24"/>
          <w:szCs w:val="24"/>
        </w:rPr>
        <w:t xml:space="preserve"> el Estudio de Impacto Ambiental Categoría I, correspondiente al proyecto denominado </w:t>
      </w:r>
      <w:r w:rsidRPr="00E245BA">
        <w:rPr>
          <w:rFonts w:ascii="Times New Roman" w:hAnsi="Times New Roman"/>
          <w:b/>
          <w:color w:val="000000"/>
          <w:spacing w:val="-3"/>
          <w:sz w:val="24"/>
          <w:szCs w:val="24"/>
        </w:rPr>
        <w:t>“</w:t>
      </w:r>
      <w:r w:rsidR="00A64CC7">
        <w:rPr>
          <w:rFonts w:ascii="Times New Roman" w:hAnsi="Times New Roman"/>
          <w:b/>
          <w:sz w:val="24"/>
          <w:szCs w:val="24"/>
          <w:lang w:val="es-ES"/>
        </w:rPr>
        <w:t xml:space="preserve">URBANIZACIÓN </w:t>
      </w:r>
      <w:r w:rsidR="00496AAE">
        <w:rPr>
          <w:rFonts w:ascii="Times New Roman" w:hAnsi="Times New Roman"/>
          <w:b/>
          <w:sz w:val="24"/>
          <w:szCs w:val="24"/>
          <w:lang w:val="es-ES"/>
        </w:rPr>
        <w:t>VILLA VERDE</w:t>
      </w:r>
      <w:r w:rsidRPr="00E245BA">
        <w:rPr>
          <w:rFonts w:ascii="Times New Roman" w:hAnsi="Times New Roman"/>
          <w:b/>
          <w:sz w:val="24"/>
          <w:szCs w:val="24"/>
        </w:rPr>
        <w:t>”</w:t>
      </w:r>
      <w:r w:rsidR="00744B4C" w:rsidRPr="00E245BA">
        <w:rPr>
          <w:rFonts w:ascii="Times New Roman" w:hAnsi="Times New Roman"/>
          <w:sz w:val="24"/>
          <w:szCs w:val="24"/>
        </w:rPr>
        <w:t xml:space="preserve">, cuyo promotor es </w:t>
      </w:r>
      <w:r w:rsidR="00496AAE">
        <w:rPr>
          <w:rFonts w:ascii="Times New Roman" w:hAnsi="Times New Roman"/>
          <w:b/>
          <w:sz w:val="24"/>
          <w:szCs w:val="24"/>
        </w:rPr>
        <w:t>CONSTRUCTORA BOLIVAR ALVAREZ</w:t>
      </w:r>
      <w:r w:rsidR="00B474EC">
        <w:rPr>
          <w:rFonts w:ascii="Times New Roman" w:hAnsi="Times New Roman"/>
          <w:b/>
          <w:sz w:val="24"/>
          <w:szCs w:val="24"/>
        </w:rPr>
        <w:t>, S.A.</w:t>
      </w:r>
    </w:p>
    <w:p w:rsidR="0086245C" w:rsidRPr="00E245BA" w:rsidRDefault="0086245C" w:rsidP="00E245BA">
      <w:pPr>
        <w:pStyle w:val="Prrafodelista1"/>
        <w:tabs>
          <w:tab w:val="left" w:pos="0"/>
        </w:tabs>
        <w:suppressAutoHyphens/>
        <w:spacing w:after="240"/>
        <w:ind w:left="714" w:right="102"/>
        <w:jc w:val="both"/>
        <w:rPr>
          <w:rFonts w:ascii="Times New Roman" w:hAnsi="Times New Roman"/>
          <w:sz w:val="24"/>
          <w:szCs w:val="24"/>
        </w:rPr>
      </w:pPr>
    </w:p>
    <w:p w:rsidR="0086245C" w:rsidRPr="00E245BA" w:rsidRDefault="00254A82" w:rsidP="00E245BA">
      <w:pPr>
        <w:pStyle w:val="Prrafodelista1"/>
        <w:tabs>
          <w:tab w:val="left" w:pos="0"/>
        </w:tabs>
        <w:suppressAutoHyphens/>
        <w:spacing w:after="240"/>
        <w:ind w:left="714" w:right="102"/>
        <w:jc w:val="both"/>
        <w:rPr>
          <w:rFonts w:ascii="Times New Roman" w:hAnsi="Times New Roman"/>
          <w:sz w:val="24"/>
          <w:szCs w:val="24"/>
        </w:rPr>
      </w:pPr>
      <w:r w:rsidRPr="00E245BA">
        <w:rPr>
          <w:rFonts w:ascii="Times New Roman" w:hAnsi="Times New Roman"/>
          <w:noProof/>
          <w:sz w:val="24"/>
          <w:szCs w:val="24"/>
          <w:lang w:eastAsia="es-PA"/>
        </w:rPr>
        <mc:AlternateContent>
          <mc:Choice Requires="wps">
            <w:drawing>
              <wp:anchor distT="0" distB="0" distL="114300" distR="114300" simplePos="0" relativeHeight="251659264" behindDoc="0" locked="0" layoutInCell="1" allowOverlap="1" wp14:anchorId="384E6D47" wp14:editId="33C2FE48">
                <wp:simplePos x="0" y="0"/>
                <wp:positionH relativeFrom="column">
                  <wp:posOffset>518160</wp:posOffset>
                </wp:positionH>
                <wp:positionV relativeFrom="paragraph">
                  <wp:posOffset>204470</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7DAE" w:rsidRDefault="00377DAE" w:rsidP="00FE2502">
                            <w:pPr>
                              <w:jc w:val="center"/>
                              <w:rPr>
                                <w:lang w:val="es-PA"/>
                              </w:rPr>
                            </w:pPr>
                          </w:p>
                          <w:p w:rsidR="00377DAE" w:rsidRDefault="00377DAE" w:rsidP="00FE2502">
                            <w:pPr>
                              <w:jc w:val="center"/>
                              <w:rPr>
                                <w:b/>
                                <w:lang w:val="es-PA"/>
                              </w:rPr>
                            </w:pPr>
                            <w:r>
                              <w:rPr>
                                <w:b/>
                                <w:lang w:val="es-PA"/>
                              </w:rPr>
                              <w:t>THARSIS GONZALEZ</w:t>
                            </w:r>
                          </w:p>
                          <w:p w:rsidR="00377DAE" w:rsidRPr="00FE2502" w:rsidRDefault="00377DAE" w:rsidP="00FE2502">
                            <w:pPr>
                              <w:jc w:val="center"/>
                              <w:rPr>
                                <w:lang w:val="es-PA"/>
                              </w:rPr>
                            </w:pPr>
                            <w:r>
                              <w:rPr>
                                <w:lang w:val="es-PA"/>
                              </w:rPr>
                              <w:t>Evaluadora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40.8pt;margin-top:16.1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" filled="f" stroked="f" strokeweight=".5pt">
                <v:textbox>
                  <w:txbxContent>
                    <w:p w:rsidR="00377DAE" w:rsidRDefault="00377DAE" w:rsidP="00FE2502">
                      <w:pPr>
                        <w:jc w:val="center"/>
                        <w:rPr>
                          <w:lang w:val="es-PA"/>
                        </w:rPr>
                      </w:pPr>
                    </w:p>
                    <w:p w:rsidR="00377DAE" w:rsidRDefault="00377DAE" w:rsidP="00FE2502">
                      <w:pPr>
                        <w:jc w:val="center"/>
                        <w:rPr>
                          <w:b/>
                          <w:lang w:val="es-PA"/>
                        </w:rPr>
                      </w:pPr>
                      <w:r>
                        <w:rPr>
                          <w:b/>
                          <w:lang w:val="es-PA"/>
                        </w:rPr>
                        <w:t>THARSIS GONZALEZ</w:t>
                      </w:r>
                    </w:p>
                    <w:p w:rsidR="00377DAE" w:rsidRPr="00FE2502" w:rsidRDefault="00377DAE" w:rsidP="00FE2502">
                      <w:pPr>
                        <w:jc w:val="center"/>
                        <w:rPr>
                          <w:lang w:val="es-PA"/>
                        </w:rPr>
                      </w:pPr>
                      <w:r>
                        <w:rPr>
                          <w:lang w:val="es-PA"/>
                        </w:rPr>
                        <w:t>Evaluadora</w:t>
                      </w:r>
                    </w:p>
                  </w:txbxContent>
                </v:textbox>
              </v:shape>
            </w:pict>
          </mc:Fallback>
        </mc:AlternateContent>
      </w:r>
    </w:p>
    <w:p w:rsidR="0086245C" w:rsidRPr="00E245BA" w:rsidRDefault="0086245C" w:rsidP="00E245BA">
      <w:pPr>
        <w:spacing w:after="240" w:line="276" w:lineRule="auto"/>
        <w:jc w:val="both"/>
        <w:rPr>
          <w:rFonts w:eastAsia="MS Mincho"/>
          <w:b/>
          <w:color w:val="000000"/>
        </w:rPr>
      </w:pPr>
    </w:p>
    <w:p w:rsidR="0086245C" w:rsidRPr="00E245BA" w:rsidRDefault="00254A82" w:rsidP="00E245BA">
      <w:pPr>
        <w:spacing w:after="240"/>
        <w:jc w:val="both"/>
      </w:pPr>
      <w:r w:rsidRPr="00E245BA">
        <w:rPr>
          <w:noProof/>
          <w:lang w:val="es-PA" w:eastAsia="es-PA"/>
        </w:rPr>
        <mc:AlternateContent>
          <mc:Choice Requires="wps">
            <w:drawing>
              <wp:anchor distT="0" distB="0" distL="114300" distR="114300" simplePos="0" relativeHeight="251663360" behindDoc="0" locked="0" layoutInCell="1" allowOverlap="1" wp14:anchorId="4FE893C3" wp14:editId="28798572">
                <wp:simplePos x="0" y="0"/>
                <wp:positionH relativeFrom="column">
                  <wp:posOffset>1612189</wp:posOffset>
                </wp:positionH>
                <wp:positionV relativeFrom="paragraph">
                  <wp:posOffset>1492165</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7DAE" w:rsidRPr="00A64CC7" w:rsidRDefault="00496AAE" w:rsidP="00FE2502">
                            <w:pPr>
                              <w:jc w:val="center"/>
                              <w:rPr>
                                <w:b/>
                                <w:lang w:val="es-PA"/>
                              </w:rPr>
                            </w:pPr>
                            <w:r>
                              <w:rPr>
                                <w:b/>
                                <w:lang w:val="es-PA"/>
                              </w:rPr>
                              <w:t>LCDA. KRISLLY QUINTERO</w:t>
                            </w:r>
                          </w:p>
                          <w:p w:rsidR="00377DAE" w:rsidRPr="00A64CC7" w:rsidRDefault="00377DAE" w:rsidP="00FE2502">
                            <w:pPr>
                              <w:jc w:val="center"/>
                              <w:rPr>
                                <w:lang w:val="es-PA"/>
                              </w:rPr>
                            </w:pPr>
                            <w:r>
                              <w:rPr>
                                <w:lang w:val="es-PA"/>
                              </w:rPr>
                              <w:t>Director</w:t>
                            </w:r>
                            <w:r w:rsidR="00496AAE">
                              <w:rPr>
                                <w:lang w:val="es-PA"/>
                              </w:rPr>
                              <w:t>a</w:t>
                            </w:r>
                            <w:r w:rsidRPr="00A64CC7">
                              <w:rPr>
                                <w:lang w:val="es-PA"/>
                              </w:rPr>
                              <w:t xml:space="preserve"> Regional</w:t>
                            </w:r>
                            <w:r>
                              <w:rPr>
                                <w:lang w:val="es-PA"/>
                              </w:rPr>
                              <w:t>,</w:t>
                            </w:r>
                          </w:p>
                          <w:p w:rsidR="00377DAE" w:rsidRPr="00FE2502" w:rsidRDefault="00377DAE" w:rsidP="00FE2502">
                            <w:pPr>
                              <w:jc w:val="center"/>
                              <w:rPr>
                                <w:lang w:val="es-PA"/>
                              </w:rPr>
                            </w:pPr>
                            <w:r w:rsidRPr="00A64CC7">
                              <w:rPr>
                                <w:lang w:val="es-PA"/>
                              </w:rPr>
                              <w:t>Ministerio de Ambiente - Chiriquí</w:t>
                            </w:r>
                            <w:r>
                              <w:rPr>
                                <w:lang w:val="es-P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126.95pt;margin-top:117.5pt;width:205.75pt;height: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" filled="f" stroked="f" strokeweight=".5pt">
                <v:textbox>
                  <w:txbxContent>
                    <w:p w:rsidR="00377DAE" w:rsidRPr="00A64CC7" w:rsidRDefault="00496AAE" w:rsidP="00FE2502">
                      <w:pPr>
                        <w:jc w:val="center"/>
                        <w:rPr>
                          <w:b/>
                          <w:lang w:val="es-PA"/>
                        </w:rPr>
                      </w:pPr>
                      <w:r>
                        <w:rPr>
                          <w:b/>
                          <w:lang w:val="es-PA"/>
                        </w:rPr>
                        <w:t>LCDA. KRISLLY QUINTERO</w:t>
                      </w:r>
                    </w:p>
                    <w:p w:rsidR="00377DAE" w:rsidRPr="00A64CC7" w:rsidRDefault="00377DAE" w:rsidP="00FE2502">
                      <w:pPr>
                        <w:jc w:val="center"/>
                        <w:rPr>
                          <w:lang w:val="es-PA"/>
                        </w:rPr>
                      </w:pPr>
                      <w:r>
                        <w:rPr>
                          <w:lang w:val="es-PA"/>
                        </w:rPr>
                        <w:t>Director</w:t>
                      </w:r>
                      <w:r w:rsidR="00496AAE">
                        <w:rPr>
                          <w:lang w:val="es-PA"/>
                        </w:rPr>
                        <w:t>a</w:t>
                      </w:r>
                      <w:r w:rsidRPr="00A64CC7">
                        <w:rPr>
                          <w:lang w:val="es-PA"/>
                        </w:rPr>
                        <w:t xml:space="preserve"> Regional</w:t>
                      </w:r>
                      <w:r>
                        <w:rPr>
                          <w:lang w:val="es-PA"/>
                        </w:rPr>
                        <w:t>,</w:t>
                      </w:r>
                    </w:p>
                    <w:p w:rsidR="00377DAE" w:rsidRPr="00FE2502" w:rsidRDefault="00377DAE" w:rsidP="00FE2502">
                      <w:pPr>
                        <w:jc w:val="center"/>
                        <w:rPr>
                          <w:lang w:val="es-PA"/>
                        </w:rPr>
                      </w:pPr>
                      <w:r w:rsidRPr="00A64CC7">
                        <w:rPr>
                          <w:lang w:val="es-PA"/>
                        </w:rPr>
                        <w:t>Ministerio de Ambiente - Chiriquí</w:t>
                      </w:r>
                      <w:r>
                        <w:rPr>
                          <w:lang w:val="es-PA"/>
                        </w:rPr>
                        <w:t xml:space="preserve"> </w:t>
                      </w:r>
                    </w:p>
                  </w:txbxContent>
                </v:textbox>
              </v:shape>
            </w:pict>
          </mc:Fallback>
        </mc:AlternateContent>
      </w:r>
      <w:r w:rsidRPr="00E245BA">
        <w:rPr>
          <w:noProof/>
          <w:lang w:val="es-PA" w:eastAsia="es-PA"/>
        </w:rPr>
        <mc:AlternateContent>
          <mc:Choice Requires="wps">
            <w:drawing>
              <wp:anchor distT="0" distB="0" distL="114300" distR="114300" simplePos="0" relativeHeight="251661312" behindDoc="0" locked="0" layoutInCell="1" allowOverlap="1" wp14:anchorId="0B32ED65" wp14:editId="3BCA032C">
                <wp:simplePos x="0" y="0"/>
                <wp:positionH relativeFrom="column">
                  <wp:posOffset>4004310</wp:posOffset>
                </wp:positionH>
                <wp:positionV relativeFrom="paragraph">
                  <wp:posOffset>55880</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7DAE" w:rsidRDefault="00496AAE" w:rsidP="00FE2502">
                            <w:pPr>
                              <w:jc w:val="center"/>
                              <w:rPr>
                                <w:b/>
                                <w:lang w:val="es-PA"/>
                              </w:rPr>
                            </w:pPr>
                            <w:r>
                              <w:rPr>
                                <w:b/>
                                <w:lang w:val="es-PA"/>
                              </w:rPr>
                              <w:t>L</w:t>
                            </w:r>
                            <w:r w:rsidR="00377DAE">
                              <w:rPr>
                                <w:b/>
                                <w:lang w:val="es-PA"/>
                              </w:rPr>
                              <w:t>CDA. NELLY RAMOS</w:t>
                            </w:r>
                          </w:p>
                          <w:p w:rsidR="00377DAE" w:rsidRDefault="00377DAE" w:rsidP="00FE2502">
                            <w:pPr>
                              <w:jc w:val="center"/>
                              <w:rPr>
                                <w:lang w:val="es-PA"/>
                              </w:rPr>
                            </w:pPr>
                            <w:r>
                              <w:rPr>
                                <w:lang w:val="es-PA"/>
                              </w:rPr>
                              <w:t>Jefa de la Sección de Evaluación de Impacto Ambiental</w:t>
                            </w:r>
                          </w:p>
                          <w:p w:rsidR="00377DAE" w:rsidRPr="00FE2502" w:rsidRDefault="00377DAE" w:rsidP="00FE2502">
                            <w:pPr>
                              <w:jc w:val="center"/>
                              <w:rPr>
                                <w:lang w:val="es-PA"/>
                              </w:rPr>
                            </w:pPr>
                            <w:r>
                              <w:rPr>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8" type="#_x0000_t202" style="position:absolute;left:0;text-align:left;margin-left:315.3pt;margin-top:4.4pt;width:190.75pt;height:8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" filled="f" stroked="f" strokeweight=".5pt">
                <v:textbox>
                  <w:txbxContent>
                    <w:p w:rsidR="00377DAE" w:rsidRDefault="00496AAE" w:rsidP="00FE2502">
                      <w:pPr>
                        <w:jc w:val="center"/>
                        <w:rPr>
                          <w:b/>
                          <w:lang w:val="es-PA"/>
                        </w:rPr>
                      </w:pPr>
                      <w:r>
                        <w:rPr>
                          <w:b/>
                          <w:lang w:val="es-PA"/>
                        </w:rPr>
                        <w:t>L</w:t>
                      </w:r>
                      <w:r w:rsidR="00377DAE">
                        <w:rPr>
                          <w:b/>
                          <w:lang w:val="es-PA"/>
                        </w:rPr>
                        <w:t>CDA. NELLY RAMOS</w:t>
                      </w:r>
                    </w:p>
                    <w:p w:rsidR="00377DAE" w:rsidRDefault="00377DAE" w:rsidP="00FE2502">
                      <w:pPr>
                        <w:jc w:val="center"/>
                        <w:rPr>
                          <w:lang w:val="es-PA"/>
                        </w:rPr>
                      </w:pPr>
                      <w:r>
                        <w:rPr>
                          <w:lang w:val="es-PA"/>
                        </w:rPr>
                        <w:t>Jefa de la Sección de Evaluación de Impacto Ambiental</w:t>
                      </w:r>
                    </w:p>
                    <w:p w:rsidR="00377DAE" w:rsidRPr="00FE2502" w:rsidRDefault="00377DAE" w:rsidP="00FE2502">
                      <w:pPr>
                        <w:jc w:val="center"/>
                        <w:rPr>
                          <w:lang w:val="es-PA"/>
                        </w:rPr>
                      </w:pPr>
                      <w:r>
                        <w:rPr>
                          <w:lang w:val="es-PA"/>
                        </w:rPr>
                        <w:t xml:space="preserve">Ministerio de Ambiente - Chiriquí </w:t>
                      </w:r>
                    </w:p>
                  </w:txbxContent>
                </v:textbox>
              </v:shape>
            </w:pict>
          </mc:Fallback>
        </mc:AlternateContent>
      </w:r>
    </w:p>
    <w:sectPr w:rsidR="0086245C" w:rsidRPr="00E245BA">
      <w:footerReference w:type="default" r:id="rId10"/>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ACD" w:rsidRDefault="00FE6ACD">
      <w:r>
        <w:separator/>
      </w:r>
    </w:p>
  </w:endnote>
  <w:endnote w:type="continuationSeparator" w:id="0">
    <w:p w:rsidR="00FE6ACD" w:rsidRDefault="00FE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Bold">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AE" w:rsidRDefault="00377DAE">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377DAE" w:rsidRDefault="00377DAE">
    <w:pPr>
      <w:tabs>
        <w:tab w:val="left" w:pos="-1890"/>
      </w:tabs>
      <w:autoSpaceDE w:val="0"/>
      <w:autoSpaceDN w:val="0"/>
      <w:adjustRightInd w:val="0"/>
      <w:rPr>
        <w:sz w:val="16"/>
        <w:szCs w:val="14"/>
        <w:lang w:eastAsia="zh-CN"/>
      </w:rPr>
    </w:pPr>
    <w:r>
      <w:rPr>
        <w:sz w:val="16"/>
        <w:szCs w:val="14"/>
        <w:lang w:eastAsia="zh-CN"/>
      </w:rPr>
      <w:t xml:space="preserve">INFORME TÉCNICO DE EVALUACIÓN No </w:t>
    </w:r>
    <w:r w:rsidR="00B14637">
      <w:rPr>
        <w:sz w:val="16"/>
        <w:szCs w:val="14"/>
        <w:lang w:eastAsia="zh-CN"/>
      </w:rPr>
      <w:t>62</w:t>
    </w:r>
    <w:r>
      <w:rPr>
        <w:sz w:val="16"/>
        <w:szCs w:val="14"/>
        <w:lang w:eastAsia="zh-CN"/>
      </w:rPr>
      <w:t>-19</w:t>
    </w:r>
  </w:p>
  <w:p w:rsidR="00377DAE" w:rsidRDefault="00377DAE">
    <w:pPr>
      <w:tabs>
        <w:tab w:val="left" w:pos="-1890"/>
      </w:tabs>
      <w:autoSpaceDE w:val="0"/>
      <w:autoSpaceDN w:val="0"/>
      <w:adjustRightInd w:val="0"/>
      <w:rPr>
        <w:sz w:val="16"/>
        <w:szCs w:val="14"/>
        <w:lang w:eastAsia="zh-CN"/>
      </w:rPr>
    </w:pPr>
    <w:r>
      <w:rPr>
        <w:sz w:val="16"/>
        <w:szCs w:val="14"/>
        <w:lang w:eastAsia="zh-CN"/>
      </w:rPr>
      <w:t xml:space="preserve">PROYECTO: URBANIZACIÓN </w:t>
    </w:r>
    <w:r w:rsidR="00B14637">
      <w:rPr>
        <w:sz w:val="16"/>
        <w:szCs w:val="14"/>
        <w:lang w:eastAsia="zh-CN"/>
      </w:rPr>
      <w:t>VILLA VERDE</w:t>
    </w:r>
  </w:p>
  <w:p w:rsidR="00377DAE" w:rsidRDefault="00377DAE">
    <w:pPr>
      <w:tabs>
        <w:tab w:val="left" w:pos="-1890"/>
      </w:tabs>
      <w:autoSpaceDE w:val="0"/>
      <w:autoSpaceDN w:val="0"/>
      <w:adjustRightInd w:val="0"/>
      <w:rPr>
        <w:sz w:val="16"/>
        <w:szCs w:val="14"/>
        <w:lang w:val="es-PA" w:eastAsia="zh-CN"/>
      </w:rPr>
    </w:pPr>
    <w:r>
      <w:rPr>
        <w:sz w:val="16"/>
        <w:szCs w:val="14"/>
        <w:lang w:val="es-PA" w:eastAsia="zh-CN"/>
      </w:rPr>
      <w:t xml:space="preserve">PROMOTOR: </w:t>
    </w:r>
    <w:r w:rsidR="00B14637">
      <w:rPr>
        <w:sz w:val="16"/>
        <w:szCs w:val="14"/>
        <w:lang w:eastAsia="zh-CN"/>
      </w:rPr>
      <w:t>CONSTRUCTORA BOLIVAR ALVAREZ</w:t>
    </w:r>
    <w:r>
      <w:rPr>
        <w:sz w:val="16"/>
        <w:szCs w:val="14"/>
        <w:lang w:eastAsia="zh-CN"/>
      </w:rPr>
      <w:t>, S.A.</w:t>
    </w:r>
  </w:p>
  <w:p w:rsidR="00377DAE" w:rsidRDefault="00377DAE">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AF5043">
      <w:rPr>
        <w:noProof/>
        <w:sz w:val="16"/>
        <w:szCs w:val="14"/>
        <w:lang w:eastAsia="zh-CN"/>
      </w:rPr>
      <w:t>1</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AF5043">
      <w:rPr>
        <w:noProof/>
        <w:sz w:val="16"/>
        <w:szCs w:val="14"/>
        <w:lang w:eastAsia="zh-CN"/>
      </w:rPr>
      <w:t>7</w:t>
    </w:r>
    <w:r>
      <w:rPr>
        <w:sz w:val="16"/>
        <w:szCs w:val="14"/>
        <w:lang w:eastAsia="zh-CN"/>
      </w:rPr>
      <w:fldChar w:fldCharType="end"/>
    </w:r>
  </w:p>
  <w:p w:rsidR="00377DAE" w:rsidRDefault="00B14637">
    <w:pPr>
      <w:pBdr>
        <w:top w:val="single" w:sz="2" w:space="1" w:color="000000"/>
      </w:pBdr>
      <w:tabs>
        <w:tab w:val="center" w:pos="4252"/>
        <w:tab w:val="right" w:pos="8504"/>
      </w:tabs>
      <w:suppressAutoHyphens/>
      <w:rPr>
        <w:sz w:val="16"/>
        <w:szCs w:val="14"/>
        <w:lang w:eastAsia="zh-CN"/>
      </w:rPr>
    </w:pPr>
    <w:r>
      <w:rPr>
        <w:sz w:val="16"/>
        <w:szCs w:val="14"/>
        <w:lang w:eastAsia="zh-CN"/>
      </w:rPr>
      <w:t>KQ</w:t>
    </w:r>
    <w:r w:rsidR="00377DAE">
      <w:rPr>
        <w:sz w:val="16"/>
        <w:szCs w:val="14"/>
        <w:lang w:eastAsia="zh-CN"/>
      </w:rPr>
      <w:t>/NR/</w:t>
    </w:r>
    <w:proofErr w:type="spellStart"/>
    <w:r w:rsidR="00377DAE" w:rsidRPr="003F7892">
      <w:rPr>
        <w:i/>
        <w:sz w:val="16"/>
        <w:szCs w:val="14"/>
        <w:lang w:eastAsia="zh-CN"/>
      </w:rPr>
      <w:t>tg</w:t>
    </w:r>
    <w:proofErr w:type="spellEnd"/>
  </w:p>
  <w:p w:rsidR="00377DAE" w:rsidRDefault="00377D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ACD" w:rsidRDefault="00FE6ACD">
      <w:r>
        <w:separator/>
      </w:r>
    </w:p>
  </w:footnote>
  <w:footnote w:type="continuationSeparator" w:id="0">
    <w:p w:rsidR="00FE6ACD" w:rsidRDefault="00FE6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DB90857"/>
    <w:multiLevelType w:val="hybridMultilevel"/>
    <w:tmpl w:val="33E2DAB2"/>
    <w:lvl w:ilvl="0" w:tplc="16E8289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6">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90277F"/>
    <w:multiLevelType w:val="hybridMultilevel"/>
    <w:tmpl w:val="91F613B6"/>
    <w:lvl w:ilvl="0" w:tplc="21C03D1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8">
    <w:nsid w:val="274B25FF"/>
    <w:multiLevelType w:val="hybridMultilevel"/>
    <w:tmpl w:val="2E7EE8D4"/>
    <w:lvl w:ilvl="0" w:tplc="F27C20F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9">
    <w:nsid w:val="2C9E7726"/>
    <w:multiLevelType w:val="multilevel"/>
    <w:tmpl w:val="2C9E77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0E0DD8"/>
    <w:multiLevelType w:val="hybridMultilevel"/>
    <w:tmpl w:val="946427EE"/>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613A5FF6">
      <w:start w:val="1"/>
      <w:numFmt w:val="lowerLetter"/>
      <w:lvlText w:val="%3."/>
      <w:lvlJc w:val="right"/>
      <w:pPr>
        <w:ind w:left="2160" w:hanging="180"/>
      </w:pPr>
      <w:rPr>
        <w:rFonts w:ascii="Times New Roman" w:eastAsia="Times New Roman" w:hAnsi="Times New Roman" w:cs="Times New Roman"/>
      </w:rPr>
    </w:lvl>
    <w:lvl w:ilvl="3" w:tplc="180A000F">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3ABB4700"/>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10E0909"/>
    <w:multiLevelType w:val="hybridMultilevel"/>
    <w:tmpl w:val="5E740EBC"/>
    <w:lvl w:ilvl="0" w:tplc="B83A21E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3">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931152D"/>
    <w:multiLevelType w:val="hybridMultilevel"/>
    <w:tmpl w:val="CF92A590"/>
    <w:lvl w:ilvl="0" w:tplc="95427D48">
      <w:start w:val="1"/>
      <w:numFmt w:val="decimal"/>
      <w:lvlText w:val="%1."/>
      <w:lvlJc w:val="left"/>
      <w:pPr>
        <w:ind w:left="1080" w:hanging="360"/>
      </w:pPr>
      <w:rPr>
        <w:rFonts w:hint="default"/>
      </w:rPr>
    </w:lvl>
    <w:lvl w:ilvl="1" w:tplc="180A0019">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5">
    <w:nsid w:val="4AAF6D81"/>
    <w:multiLevelType w:val="multilevel"/>
    <w:tmpl w:val="4AAF6D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F46FB6"/>
    <w:multiLevelType w:val="hybridMultilevel"/>
    <w:tmpl w:val="4DD68B30"/>
    <w:lvl w:ilvl="0" w:tplc="B2B2F046">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7">
    <w:nsid w:val="500517AA"/>
    <w:multiLevelType w:val="hybridMultilevel"/>
    <w:tmpl w:val="A170DFF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nsid w:val="59B19D0D"/>
    <w:multiLevelType w:val="singleLevel"/>
    <w:tmpl w:val="59B19D0D"/>
    <w:lvl w:ilvl="0">
      <w:start w:val="1"/>
      <w:numFmt w:val="decimal"/>
      <w:lvlText w:val="%1."/>
      <w:lvlJc w:val="left"/>
      <w:pPr>
        <w:ind w:left="425" w:hanging="425"/>
      </w:pPr>
      <w:rPr>
        <w:rFonts w:hint="default"/>
      </w:rPr>
    </w:lvl>
  </w:abstractNum>
  <w:abstractNum w:abstractNumId="19">
    <w:nsid w:val="67544ACD"/>
    <w:multiLevelType w:val="hybridMultilevel"/>
    <w:tmpl w:val="E168CF44"/>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nsid w:val="6B5314CC"/>
    <w:multiLevelType w:val="hybridMultilevel"/>
    <w:tmpl w:val="3400348E"/>
    <w:lvl w:ilvl="0" w:tplc="180A0001">
      <w:start w:val="1"/>
      <w:numFmt w:val="bullet"/>
      <w:lvlText w:val=""/>
      <w:lvlJc w:val="left"/>
      <w:pPr>
        <w:ind w:left="2520" w:hanging="360"/>
      </w:pPr>
      <w:rPr>
        <w:rFonts w:ascii="Symbol" w:hAnsi="Symbol" w:hint="default"/>
      </w:rPr>
    </w:lvl>
    <w:lvl w:ilvl="1" w:tplc="180A0003">
      <w:start w:val="1"/>
      <w:numFmt w:val="bullet"/>
      <w:lvlText w:val="o"/>
      <w:lvlJc w:val="left"/>
      <w:pPr>
        <w:ind w:left="3240" w:hanging="360"/>
      </w:pPr>
      <w:rPr>
        <w:rFonts w:ascii="Courier New" w:hAnsi="Courier New" w:cs="Courier New" w:hint="default"/>
      </w:rPr>
    </w:lvl>
    <w:lvl w:ilvl="2" w:tplc="180A0005" w:tentative="1">
      <w:start w:val="1"/>
      <w:numFmt w:val="bullet"/>
      <w:lvlText w:val=""/>
      <w:lvlJc w:val="left"/>
      <w:pPr>
        <w:ind w:left="3960" w:hanging="360"/>
      </w:pPr>
      <w:rPr>
        <w:rFonts w:ascii="Wingdings" w:hAnsi="Wingdings" w:hint="default"/>
      </w:rPr>
    </w:lvl>
    <w:lvl w:ilvl="3" w:tplc="180A0001" w:tentative="1">
      <w:start w:val="1"/>
      <w:numFmt w:val="bullet"/>
      <w:lvlText w:val=""/>
      <w:lvlJc w:val="left"/>
      <w:pPr>
        <w:ind w:left="4680" w:hanging="360"/>
      </w:pPr>
      <w:rPr>
        <w:rFonts w:ascii="Symbol" w:hAnsi="Symbol" w:hint="default"/>
      </w:rPr>
    </w:lvl>
    <w:lvl w:ilvl="4" w:tplc="180A0003" w:tentative="1">
      <w:start w:val="1"/>
      <w:numFmt w:val="bullet"/>
      <w:lvlText w:val="o"/>
      <w:lvlJc w:val="left"/>
      <w:pPr>
        <w:ind w:left="5400" w:hanging="360"/>
      </w:pPr>
      <w:rPr>
        <w:rFonts w:ascii="Courier New" w:hAnsi="Courier New" w:cs="Courier New" w:hint="default"/>
      </w:rPr>
    </w:lvl>
    <w:lvl w:ilvl="5" w:tplc="180A0005" w:tentative="1">
      <w:start w:val="1"/>
      <w:numFmt w:val="bullet"/>
      <w:lvlText w:val=""/>
      <w:lvlJc w:val="left"/>
      <w:pPr>
        <w:ind w:left="6120" w:hanging="360"/>
      </w:pPr>
      <w:rPr>
        <w:rFonts w:ascii="Wingdings" w:hAnsi="Wingdings" w:hint="default"/>
      </w:rPr>
    </w:lvl>
    <w:lvl w:ilvl="6" w:tplc="180A0001" w:tentative="1">
      <w:start w:val="1"/>
      <w:numFmt w:val="bullet"/>
      <w:lvlText w:val=""/>
      <w:lvlJc w:val="left"/>
      <w:pPr>
        <w:ind w:left="6840" w:hanging="360"/>
      </w:pPr>
      <w:rPr>
        <w:rFonts w:ascii="Symbol" w:hAnsi="Symbol" w:hint="default"/>
      </w:rPr>
    </w:lvl>
    <w:lvl w:ilvl="7" w:tplc="180A0003" w:tentative="1">
      <w:start w:val="1"/>
      <w:numFmt w:val="bullet"/>
      <w:lvlText w:val="o"/>
      <w:lvlJc w:val="left"/>
      <w:pPr>
        <w:ind w:left="7560" w:hanging="360"/>
      </w:pPr>
      <w:rPr>
        <w:rFonts w:ascii="Courier New" w:hAnsi="Courier New" w:cs="Courier New" w:hint="default"/>
      </w:rPr>
    </w:lvl>
    <w:lvl w:ilvl="8" w:tplc="180A0005" w:tentative="1">
      <w:start w:val="1"/>
      <w:numFmt w:val="bullet"/>
      <w:lvlText w:val=""/>
      <w:lvlJc w:val="left"/>
      <w:pPr>
        <w:ind w:left="8280" w:hanging="360"/>
      </w:pPr>
      <w:rPr>
        <w:rFonts w:ascii="Wingdings" w:hAnsi="Wingdings" w:hint="default"/>
      </w:rPr>
    </w:lvl>
  </w:abstractNum>
  <w:abstractNum w:abstractNumId="21">
    <w:nsid w:val="719A793D"/>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20C14B8"/>
    <w:multiLevelType w:val="hybridMultilevel"/>
    <w:tmpl w:val="23D4CE6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3">
    <w:nsid w:val="7D642F32"/>
    <w:multiLevelType w:val="hybridMultilevel"/>
    <w:tmpl w:val="436634F8"/>
    <w:lvl w:ilvl="0" w:tplc="7DF47F0A">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4">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9"/>
  </w:num>
  <w:num w:numId="3">
    <w:abstractNumId w:val="13"/>
  </w:num>
  <w:num w:numId="4">
    <w:abstractNumId w:val="15"/>
  </w:num>
  <w:num w:numId="5">
    <w:abstractNumId w:val="18"/>
  </w:num>
  <w:num w:numId="6">
    <w:abstractNumId w:val="2"/>
  </w:num>
  <w:num w:numId="7">
    <w:abstractNumId w:val="6"/>
  </w:num>
  <w:num w:numId="8">
    <w:abstractNumId w:val="1"/>
  </w:num>
  <w:num w:numId="9">
    <w:abstractNumId w:val="3"/>
  </w:num>
  <w:num w:numId="10">
    <w:abstractNumId w:val="12"/>
  </w:num>
  <w:num w:numId="11">
    <w:abstractNumId w:val="17"/>
  </w:num>
  <w:num w:numId="12">
    <w:abstractNumId w:val="4"/>
  </w:num>
  <w:num w:numId="13">
    <w:abstractNumId w:val="0"/>
  </w:num>
  <w:num w:numId="14">
    <w:abstractNumId w:val="14"/>
  </w:num>
  <w:num w:numId="15">
    <w:abstractNumId w:val="20"/>
  </w:num>
  <w:num w:numId="16">
    <w:abstractNumId w:val="22"/>
  </w:num>
  <w:num w:numId="17">
    <w:abstractNumId w:val="10"/>
  </w:num>
  <w:num w:numId="18">
    <w:abstractNumId w:val="5"/>
  </w:num>
  <w:num w:numId="19">
    <w:abstractNumId w:val="7"/>
  </w:num>
  <w:num w:numId="20">
    <w:abstractNumId w:val="23"/>
  </w:num>
  <w:num w:numId="21">
    <w:abstractNumId w:val="16"/>
  </w:num>
  <w:num w:numId="22">
    <w:abstractNumId w:val="8"/>
  </w:num>
  <w:num w:numId="23">
    <w:abstractNumId w:val="21"/>
  </w:num>
  <w:num w:numId="24">
    <w:abstractNumId w:val="1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A8"/>
    <w:rsid w:val="00011A65"/>
    <w:rsid w:val="00027583"/>
    <w:rsid w:val="0007191D"/>
    <w:rsid w:val="000724C2"/>
    <w:rsid w:val="00076517"/>
    <w:rsid w:val="000C407E"/>
    <w:rsid w:val="000C705E"/>
    <w:rsid w:val="000D4B4C"/>
    <w:rsid w:val="000F3893"/>
    <w:rsid w:val="001014B3"/>
    <w:rsid w:val="0010311A"/>
    <w:rsid w:val="00104CDB"/>
    <w:rsid w:val="00106EDC"/>
    <w:rsid w:val="001100B4"/>
    <w:rsid w:val="001116AE"/>
    <w:rsid w:val="001214FB"/>
    <w:rsid w:val="00127CF9"/>
    <w:rsid w:val="0014727C"/>
    <w:rsid w:val="00162A67"/>
    <w:rsid w:val="001660DC"/>
    <w:rsid w:val="001662A0"/>
    <w:rsid w:val="00170CD3"/>
    <w:rsid w:val="00177383"/>
    <w:rsid w:val="00183E93"/>
    <w:rsid w:val="00195601"/>
    <w:rsid w:val="001A1BAE"/>
    <w:rsid w:val="001B01CF"/>
    <w:rsid w:val="001B1021"/>
    <w:rsid w:val="001B2EC8"/>
    <w:rsid w:val="001B76A1"/>
    <w:rsid w:val="001B7F2F"/>
    <w:rsid w:val="001C0CB7"/>
    <w:rsid w:val="001E3A7B"/>
    <w:rsid w:val="001E4926"/>
    <w:rsid w:val="001E64F5"/>
    <w:rsid w:val="001F1A9C"/>
    <w:rsid w:val="00217BE0"/>
    <w:rsid w:val="0022132F"/>
    <w:rsid w:val="00234AE1"/>
    <w:rsid w:val="00234E4D"/>
    <w:rsid w:val="00254A82"/>
    <w:rsid w:val="00256DE6"/>
    <w:rsid w:val="00261339"/>
    <w:rsid w:val="0029626D"/>
    <w:rsid w:val="00297965"/>
    <w:rsid w:val="002A4B42"/>
    <w:rsid w:val="002B3E6D"/>
    <w:rsid w:val="002C6F91"/>
    <w:rsid w:val="002D0BD1"/>
    <w:rsid w:val="002D35B1"/>
    <w:rsid w:val="00304E15"/>
    <w:rsid w:val="00305B20"/>
    <w:rsid w:val="00311504"/>
    <w:rsid w:val="0031485C"/>
    <w:rsid w:val="003226BA"/>
    <w:rsid w:val="0032385D"/>
    <w:rsid w:val="003336A8"/>
    <w:rsid w:val="00352682"/>
    <w:rsid w:val="003564FE"/>
    <w:rsid w:val="0036410A"/>
    <w:rsid w:val="00364882"/>
    <w:rsid w:val="0036657D"/>
    <w:rsid w:val="0037387A"/>
    <w:rsid w:val="0037730E"/>
    <w:rsid w:val="00377DAE"/>
    <w:rsid w:val="003836AD"/>
    <w:rsid w:val="00393384"/>
    <w:rsid w:val="00393796"/>
    <w:rsid w:val="00394467"/>
    <w:rsid w:val="003A2656"/>
    <w:rsid w:val="003B2F58"/>
    <w:rsid w:val="003C695F"/>
    <w:rsid w:val="003D2E26"/>
    <w:rsid w:val="003F491E"/>
    <w:rsid w:val="003F62A9"/>
    <w:rsid w:val="003F7892"/>
    <w:rsid w:val="0042272C"/>
    <w:rsid w:val="00437779"/>
    <w:rsid w:val="00441074"/>
    <w:rsid w:val="00452A35"/>
    <w:rsid w:val="00463E72"/>
    <w:rsid w:val="0046795C"/>
    <w:rsid w:val="0047641E"/>
    <w:rsid w:val="00480B6E"/>
    <w:rsid w:val="0048252B"/>
    <w:rsid w:val="00483626"/>
    <w:rsid w:val="00485AC3"/>
    <w:rsid w:val="004878B9"/>
    <w:rsid w:val="00496AAE"/>
    <w:rsid w:val="00496AF6"/>
    <w:rsid w:val="00496E9A"/>
    <w:rsid w:val="004A3032"/>
    <w:rsid w:val="004A5037"/>
    <w:rsid w:val="004A597B"/>
    <w:rsid w:val="004B3AD0"/>
    <w:rsid w:val="004B54E2"/>
    <w:rsid w:val="004C743B"/>
    <w:rsid w:val="004D129C"/>
    <w:rsid w:val="004D2CAA"/>
    <w:rsid w:val="004D5D65"/>
    <w:rsid w:val="004F6B1C"/>
    <w:rsid w:val="0050217B"/>
    <w:rsid w:val="00505DE6"/>
    <w:rsid w:val="00511010"/>
    <w:rsid w:val="00515073"/>
    <w:rsid w:val="00524553"/>
    <w:rsid w:val="0053211E"/>
    <w:rsid w:val="00537C97"/>
    <w:rsid w:val="00542AA9"/>
    <w:rsid w:val="005440EF"/>
    <w:rsid w:val="00550D9D"/>
    <w:rsid w:val="00560E45"/>
    <w:rsid w:val="00577FC2"/>
    <w:rsid w:val="00584F37"/>
    <w:rsid w:val="00591C06"/>
    <w:rsid w:val="005965CF"/>
    <w:rsid w:val="00597640"/>
    <w:rsid w:val="00597C37"/>
    <w:rsid w:val="005A4CE3"/>
    <w:rsid w:val="005D7DDA"/>
    <w:rsid w:val="005E190C"/>
    <w:rsid w:val="005F6C14"/>
    <w:rsid w:val="00610DE0"/>
    <w:rsid w:val="00611822"/>
    <w:rsid w:val="00611CC2"/>
    <w:rsid w:val="00612FCE"/>
    <w:rsid w:val="00615082"/>
    <w:rsid w:val="00625749"/>
    <w:rsid w:val="00625A0D"/>
    <w:rsid w:val="006263BD"/>
    <w:rsid w:val="00632B91"/>
    <w:rsid w:val="0064077C"/>
    <w:rsid w:val="00642974"/>
    <w:rsid w:val="0064392E"/>
    <w:rsid w:val="00643D32"/>
    <w:rsid w:val="00657A14"/>
    <w:rsid w:val="00657B79"/>
    <w:rsid w:val="00657BAF"/>
    <w:rsid w:val="00660488"/>
    <w:rsid w:val="0066636C"/>
    <w:rsid w:val="0067437E"/>
    <w:rsid w:val="00691E83"/>
    <w:rsid w:val="006942AE"/>
    <w:rsid w:val="00695276"/>
    <w:rsid w:val="006B646D"/>
    <w:rsid w:val="006C0DEF"/>
    <w:rsid w:val="006D288D"/>
    <w:rsid w:val="006D4468"/>
    <w:rsid w:val="006D77B8"/>
    <w:rsid w:val="006E60E2"/>
    <w:rsid w:val="006F08B0"/>
    <w:rsid w:val="00702D69"/>
    <w:rsid w:val="0070433C"/>
    <w:rsid w:val="00712BD0"/>
    <w:rsid w:val="00725150"/>
    <w:rsid w:val="00727E0B"/>
    <w:rsid w:val="007348E6"/>
    <w:rsid w:val="0073645F"/>
    <w:rsid w:val="00741EC9"/>
    <w:rsid w:val="00743964"/>
    <w:rsid w:val="00744B4C"/>
    <w:rsid w:val="00745F81"/>
    <w:rsid w:val="00751706"/>
    <w:rsid w:val="007530C8"/>
    <w:rsid w:val="00764E91"/>
    <w:rsid w:val="00766518"/>
    <w:rsid w:val="007725AC"/>
    <w:rsid w:val="00784EFB"/>
    <w:rsid w:val="007A1C08"/>
    <w:rsid w:val="007A3867"/>
    <w:rsid w:val="007B5476"/>
    <w:rsid w:val="007C6D53"/>
    <w:rsid w:val="007D184F"/>
    <w:rsid w:val="007D1FDD"/>
    <w:rsid w:val="007E1A52"/>
    <w:rsid w:val="007E2254"/>
    <w:rsid w:val="007F572E"/>
    <w:rsid w:val="00802518"/>
    <w:rsid w:val="008044BF"/>
    <w:rsid w:val="00806BAE"/>
    <w:rsid w:val="008141C1"/>
    <w:rsid w:val="0081428C"/>
    <w:rsid w:val="008146A8"/>
    <w:rsid w:val="008210F3"/>
    <w:rsid w:val="00821833"/>
    <w:rsid w:val="00822466"/>
    <w:rsid w:val="00826E0F"/>
    <w:rsid w:val="00832FC5"/>
    <w:rsid w:val="008429F3"/>
    <w:rsid w:val="0085275D"/>
    <w:rsid w:val="0086245C"/>
    <w:rsid w:val="0086428E"/>
    <w:rsid w:val="00864AA7"/>
    <w:rsid w:val="0087131D"/>
    <w:rsid w:val="00880BD2"/>
    <w:rsid w:val="00880C55"/>
    <w:rsid w:val="00884E43"/>
    <w:rsid w:val="008875C5"/>
    <w:rsid w:val="008877AB"/>
    <w:rsid w:val="008A5E01"/>
    <w:rsid w:val="008B5FBA"/>
    <w:rsid w:val="008D5CED"/>
    <w:rsid w:val="008E01CC"/>
    <w:rsid w:val="008E1981"/>
    <w:rsid w:val="008E5348"/>
    <w:rsid w:val="008F4CF7"/>
    <w:rsid w:val="00900B30"/>
    <w:rsid w:val="00905E6E"/>
    <w:rsid w:val="00910BE3"/>
    <w:rsid w:val="009146A2"/>
    <w:rsid w:val="00927487"/>
    <w:rsid w:val="00942068"/>
    <w:rsid w:val="00945E98"/>
    <w:rsid w:val="0094729A"/>
    <w:rsid w:val="00953095"/>
    <w:rsid w:val="00960075"/>
    <w:rsid w:val="00963ACC"/>
    <w:rsid w:val="00964671"/>
    <w:rsid w:val="00994196"/>
    <w:rsid w:val="009949A3"/>
    <w:rsid w:val="009A4535"/>
    <w:rsid w:val="009B14D4"/>
    <w:rsid w:val="009B15EA"/>
    <w:rsid w:val="009C07DB"/>
    <w:rsid w:val="009C51BC"/>
    <w:rsid w:val="009D2A5C"/>
    <w:rsid w:val="009D3C7A"/>
    <w:rsid w:val="009D5646"/>
    <w:rsid w:val="009E1D87"/>
    <w:rsid w:val="009E7807"/>
    <w:rsid w:val="00A10D99"/>
    <w:rsid w:val="00A1322C"/>
    <w:rsid w:val="00A22AB5"/>
    <w:rsid w:val="00A305B9"/>
    <w:rsid w:val="00A40F9E"/>
    <w:rsid w:val="00A528C2"/>
    <w:rsid w:val="00A64CC7"/>
    <w:rsid w:val="00A66C22"/>
    <w:rsid w:val="00A8477F"/>
    <w:rsid w:val="00A873A8"/>
    <w:rsid w:val="00AA7CF9"/>
    <w:rsid w:val="00AB128B"/>
    <w:rsid w:val="00AB3613"/>
    <w:rsid w:val="00AC4D95"/>
    <w:rsid w:val="00AD46A2"/>
    <w:rsid w:val="00AD6426"/>
    <w:rsid w:val="00AE41F4"/>
    <w:rsid w:val="00AE7D1A"/>
    <w:rsid w:val="00AF5043"/>
    <w:rsid w:val="00AF55A2"/>
    <w:rsid w:val="00AF6858"/>
    <w:rsid w:val="00B042B9"/>
    <w:rsid w:val="00B07148"/>
    <w:rsid w:val="00B104EF"/>
    <w:rsid w:val="00B13A19"/>
    <w:rsid w:val="00B14637"/>
    <w:rsid w:val="00B271DD"/>
    <w:rsid w:val="00B36878"/>
    <w:rsid w:val="00B42838"/>
    <w:rsid w:val="00B4452A"/>
    <w:rsid w:val="00B474EC"/>
    <w:rsid w:val="00B734A5"/>
    <w:rsid w:val="00B73874"/>
    <w:rsid w:val="00B80C8C"/>
    <w:rsid w:val="00B81ED8"/>
    <w:rsid w:val="00B832B0"/>
    <w:rsid w:val="00B84B3B"/>
    <w:rsid w:val="00B86E4E"/>
    <w:rsid w:val="00B9109B"/>
    <w:rsid w:val="00B939C9"/>
    <w:rsid w:val="00BB624C"/>
    <w:rsid w:val="00BC6D02"/>
    <w:rsid w:val="00BD6F9E"/>
    <w:rsid w:val="00BE14EC"/>
    <w:rsid w:val="00BE2626"/>
    <w:rsid w:val="00BF3744"/>
    <w:rsid w:val="00BF503C"/>
    <w:rsid w:val="00BF7034"/>
    <w:rsid w:val="00C117D3"/>
    <w:rsid w:val="00C12A41"/>
    <w:rsid w:val="00C2657E"/>
    <w:rsid w:val="00C35AA6"/>
    <w:rsid w:val="00C419FF"/>
    <w:rsid w:val="00C439CB"/>
    <w:rsid w:val="00C50147"/>
    <w:rsid w:val="00C503EE"/>
    <w:rsid w:val="00C526CA"/>
    <w:rsid w:val="00C5794C"/>
    <w:rsid w:val="00C66373"/>
    <w:rsid w:val="00C74A87"/>
    <w:rsid w:val="00C7526C"/>
    <w:rsid w:val="00C812B6"/>
    <w:rsid w:val="00C8483A"/>
    <w:rsid w:val="00C9470E"/>
    <w:rsid w:val="00C952D4"/>
    <w:rsid w:val="00C97E03"/>
    <w:rsid w:val="00CA1CC0"/>
    <w:rsid w:val="00CA3AC1"/>
    <w:rsid w:val="00CA4745"/>
    <w:rsid w:val="00CA5582"/>
    <w:rsid w:val="00CB34B5"/>
    <w:rsid w:val="00CB456C"/>
    <w:rsid w:val="00CC22E8"/>
    <w:rsid w:val="00CC54AC"/>
    <w:rsid w:val="00CD1130"/>
    <w:rsid w:val="00CD5CEE"/>
    <w:rsid w:val="00CF02C0"/>
    <w:rsid w:val="00D01A99"/>
    <w:rsid w:val="00D076B8"/>
    <w:rsid w:val="00D07899"/>
    <w:rsid w:val="00D1110C"/>
    <w:rsid w:val="00D13F4A"/>
    <w:rsid w:val="00D154D8"/>
    <w:rsid w:val="00D35AEC"/>
    <w:rsid w:val="00D36FDA"/>
    <w:rsid w:val="00D47D52"/>
    <w:rsid w:val="00D507A3"/>
    <w:rsid w:val="00D53FBC"/>
    <w:rsid w:val="00D771A1"/>
    <w:rsid w:val="00D810E9"/>
    <w:rsid w:val="00D83B11"/>
    <w:rsid w:val="00D86AE4"/>
    <w:rsid w:val="00D920EE"/>
    <w:rsid w:val="00D93AAC"/>
    <w:rsid w:val="00D97B60"/>
    <w:rsid w:val="00DA188D"/>
    <w:rsid w:val="00DB45CC"/>
    <w:rsid w:val="00DC126E"/>
    <w:rsid w:val="00DC3133"/>
    <w:rsid w:val="00DC3629"/>
    <w:rsid w:val="00DC763B"/>
    <w:rsid w:val="00DD3456"/>
    <w:rsid w:val="00DD6583"/>
    <w:rsid w:val="00DE1612"/>
    <w:rsid w:val="00DE4DD4"/>
    <w:rsid w:val="00DF30A9"/>
    <w:rsid w:val="00DF571D"/>
    <w:rsid w:val="00E070E4"/>
    <w:rsid w:val="00E245BA"/>
    <w:rsid w:val="00E25435"/>
    <w:rsid w:val="00E32F45"/>
    <w:rsid w:val="00E40C8D"/>
    <w:rsid w:val="00E6001C"/>
    <w:rsid w:val="00E63115"/>
    <w:rsid w:val="00E6315F"/>
    <w:rsid w:val="00E64391"/>
    <w:rsid w:val="00E64613"/>
    <w:rsid w:val="00E73BBD"/>
    <w:rsid w:val="00E80952"/>
    <w:rsid w:val="00E80F12"/>
    <w:rsid w:val="00E84900"/>
    <w:rsid w:val="00E91B88"/>
    <w:rsid w:val="00E94D78"/>
    <w:rsid w:val="00E94DB0"/>
    <w:rsid w:val="00E96C35"/>
    <w:rsid w:val="00EA723D"/>
    <w:rsid w:val="00EA7B72"/>
    <w:rsid w:val="00EB609A"/>
    <w:rsid w:val="00ED25C9"/>
    <w:rsid w:val="00EE1E2D"/>
    <w:rsid w:val="00EE6A1D"/>
    <w:rsid w:val="00EF68D2"/>
    <w:rsid w:val="00F012A6"/>
    <w:rsid w:val="00F056A0"/>
    <w:rsid w:val="00F06979"/>
    <w:rsid w:val="00F074CC"/>
    <w:rsid w:val="00F1144D"/>
    <w:rsid w:val="00F11C02"/>
    <w:rsid w:val="00F2356C"/>
    <w:rsid w:val="00F25231"/>
    <w:rsid w:val="00F36FA3"/>
    <w:rsid w:val="00F654A3"/>
    <w:rsid w:val="00F74B3C"/>
    <w:rsid w:val="00F833ED"/>
    <w:rsid w:val="00F86CCC"/>
    <w:rsid w:val="00F9413F"/>
    <w:rsid w:val="00FA1038"/>
    <w:rsid w:val="00FA246B"/>
    <w:rsid w:val="00FB4309"/>
    <w:rsid w:val="00FC1188"/>
    <w:rsid w:val="00FC3644"/>
    <w:rsid w:val="00FC65D7"/>
    <w:rsid w:val="00FC7AA8"/>
    <w:rsid w:val="00FE2502"/>
    <w:rsid w:val="00FE6ACD"/>
    <w:rsid w:val="00FF06F3"/>
    <w:rsid w:val="00FF0A7E"/>
    <w:rsid w:val="00FF0B07"/>
    <w:rsid w:val="00FF24A1"/>
    <w:rsid w:val="00FF4760"/>
    <w:rsid w:val="00FF531E"/>
    <w:rsid w:val="00FF6DD9"/>
    <w:rsid w:val="02E97EEB"/>
    <w:rsid w:val="098B7F30"/>
    <w:rsid w:val="0BCD2D7F"/>
    <w:rsid w:val="0E3F43E7"/>
    <w:rsid w:val="1F5452E7"/>
    <w:rsid w:val="27FD71F6"/>
    <w:rsid w:val="2F50771F"/>
    <w:rsid w:val="32353F43"/>
    <w:rsid w:val="358277DA"/>
    <w:rsid w:val="38554E59"/>
    <w:rsid w:val="3B3D2BFC"/>
    <w:rsid w:val="3ECC5FCE"/>
    <w:rsid w:val="3F722ABA"/>
    <w:rsid w:val="40CE00EA"/>
    <w:rsid w:val="41D41FB9"/>
    <w:rsid w:val="44CF3E00"/>
    <w:rsid w:val="47770989"/>
    <w:rsid w:val="480756F6"/>
    <w:rsid w:val="511B73AD"/>
    <w:rsid w:val="51E6411C"/>
    <w:rsid w:val="533C0E42"/>
    <w:rsid w:val="558A030D"/>
    <w:rsid w:val="56971FAC"/>
    <w:rsid w:val="59D002A8"/>
    <w:rsid w:val="5B625025"/>
    <w:rsid w:val="5C0F196A"/>
    <w:rsid w:val="5FCC3DBE"/>
    <w:rsid w:val="63B767A9"/>
    <w:rsid w:val="67476285"/>
    <w:rsid w:val="6A225F1E"/>
    <w:rsid w:val="70110D01"/>
    <w:rsid w:val="70F96AC6"/>
    <w:rsid w:val="71F1160C"/>
    <w:rsid w:val="775E493C"/>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semiHidden/>
    <w:unhideWhenUsed/>
    <w:qFormat/>
    <w:rsid w:val="00FA103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semiHidden/>
    <w:unhideWhenUsed/>
    <w:qFormat/>
    <w:rsid w:val="00FA103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6473">
      <w:bodyDiv w:val="1"/>
      <w:marLeft w:val="0"/>
      <w:marRight w:val="0"/>
      <w:marTop w:val="0"/>
      <w:marBottom w:val="0"/>
      <w:divBdr>
        <w:top w:val="none" w:sz="0" w:space="0" w:color="auto"/>
        <w:left w:val="none" w:sz="0" w:space="0" w:color="auto"/>
        <w:bottom w:val="none" w:sz="0" w:space="0" w:color="auto"/>
        <w:right w:val="none" w:sz="0" w:space="0" w:color="auto"/>
      </w:divBdr>
    </w:div>
    <w:div w:id="750392374">
      <w:bodyDiv w:val="1"/>
      <w:marLeft w:val="0"/>
      <w:marRight w:val="0"/>
      <w:marTop w:val="0"/>
      <w:marBottom w:val="0"/>
      <w:divBdr>
        <w:top w:val="none" w:sz="0" w:space="0" w:color="auto"/>
        <w:left w:val="none" w:sz="0" w:space="0" w:color="auto"/>
        <w:bottom w:val="none" w:sz="0" w:space="0" w:color="auto"/>
        <w:right w:val="none" w:sz="0" w:space="0" w:color="auto"/>
      </w:divBdr>
    </w:div>
    <w:div w:id="1048912696">
      <w:bodyDiv w:val="1"/>
      <w:marLeft w:val="0"/>
      <w:marRight w:val="0"/>
      <w:marTop w:val="0"/>
      <w:marBottom w:val="0"/>
      <w:divBdr>
        <w:top w:val="none" w:sz="0" w:space="0" w:color="auto"/>
        <w:left w:val="none" w:sz="0" w:space="0" w:color="auto"/>
        <w:bottom w:val="none" w:sz="0" w:space="0" w:color="auto"/>
        <w:right w:val="none" w:sz="0" w:space="0" w:color="auto"/>
      </w:divBdr>
    </w:div>
    <w:div w:id="1132820169">
      <w:bodyDiv w:val="1"/>
      <w:marLeft w:val="0"/>
      <w:marRight w:val="0"/>
      <w:marTop w:val="0"/>
      <w:marBottom w:val="0"/>
      <w:divBdr>
        <w:top w:val="none" w:sz="0" w:space="0" w:color="auto"/>
        <w:left w:val="none" w:sz="0" w:space="0" w:color="auto"/>
        <w:bottom w:val="none" w:sz="0" w:space="0" w:color="auto"/>
        <w:right w:val="none" w:sz="0" w:space="0" w:color="auto"/>
      </w:divBdr>
    </w:div>
    <w:div w:id="1368601144">
      <w:bodyDiv w:val="1"/>
      <w:marLeft w:val="0"/>
      <w:marRight w:val="0"/>
      <w:marTop w:val="0"/>
      <w:marBottom w:val="0"/>
      <w:divBdr>
        <w:top w:val="none" w:sz="0" w:space="0" w:color="auto"/>
        <w:left w:val="none" w:sz="0" w:space="0" w:color="auto"/>
        <w:bottom w:val="none" w:sz="0" w:space="0" w:color="auto"/>
        <w:right w:val="none" w:sz="0" w:space="0" w:color="auto"/>
      </w:divBdr>
    </w:div>
    <w:div w:id="1526403110">
      <w:bodyDiv w:val="1"/>
      <w:marLeft w:val="0"/>
      <w:marRight w:val="0"/>
      <w:marTop w:val="0"/>
      <w:marBottom w:val="0"/>
      <w:divBdr>
        <w:top w:val="none" w:sz="0" w:space="0" w:color="auto"/>
        <w:left w:val="none" w:sz="0" w:space="0" w:color="auto"/>
        <w:bottom w:val="none" w:sz="0" w:space="0" w:color="auto"/>
        <w:right w:val="none" w:sz="0" w:space="0" w:color="auto"/>
      </w:divBdr>
    </w:div>
    <w:div w:id="1656255849">
      <w:bodyDiv w:val="1"/>
      <w:marLeft w:val="0"/>
      <w:marRight w:val="0"/>
      <w:marTop w:val="0"/>
      <w:marBottom w:val="0"/>
      <w:divBdr>
        <w:top w:val="none" w:sz="0" w:space="0" w:color="auto"/>
        <w:left w:val="none" w:sz="0" w:space="0" w:color="auto"/>
        <w:bottom w:val="none" w:sz="0" w:space="0" w:color="auto"/>
        <w:right w:val="none" w:sz="0" w:space="0" w:color="auto"/>
      </w:divBdr>
    </w:div>
    <w:div w:id="1801142266">
      <w:bodyDiv w:val="1"/>
      <w:marLeft w:val="0"/>
      <w:marRight w:val="0"/>
      <w:marTop w:val="0"/>
      <w:marBottom w:val="0"/>
      <w:divBdr>
        <w:top w:val="none" w:sz="0" w:space="0" w:color="auto"/>
        <w:left w:val="none" w:sz="0" w:space="0" w:color="auto"/>
        <w:bottom w:val="none" w:sz="0" w:space="0" w:color="auto"/>
        <w:right w:val="none" w:sz="0" w:space="0" w:color="auto"/>
      </w:divBdr>
    </w:div>
    <w:div w:id="1902402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8D5E37-C240-4BEC-9622-90A5DC76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2797</Words>
  <Characters>15389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Kyria Corrales</dc:creator>
  <cp:lastModifiedBy>Tharsis Gonzalez</cp:lastModifiedBy>
  <cp:revision>12</cp:revision>
  <cp:lastPrinted>2019-04-01T14:23:00Z</cp:lastPrinted>
  <dcterms:created xsi:type="dcterms:W3CDTF">2019-08-23T20:09:00Z</dcterms:created>
  <dcterms:modified xsi:type="dcterms:W3CDTF">2019-10-17T17:00:00Z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