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29700E" w:rsidRDefault="0029700E" w:rsidP="0029700E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</w:rPr>
      </w:pPr>
    </w:p>
    <w:p w:rsidR="00345EDF" w:rsidRPr="00345EDF" w:rsidRDefault="00493453" w:rsidP="007D3B73">
      <w:pPr>
        <w:tabs>
          <w:tab w:val="left" w:pos="0"/>
          <w:tab w:val="left" w:pos="1440"/>
        </w:tabs>
        <w:suppressAutoHyphens/>
        <w:jc w:val="both"/>
        <w:rPr>
          <w:i/>
          <w:color w:val="000000"/>
          <w:lang w:val="es-PA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345EDF">
        <w:rPr>
          <w:color w:val="000000"/>
        </w:rPr>
        <w:t xml:space="preserve">Según el </w:t>
      </w:r>
      <w:bookmarkStart w:id="0" w:name="_GoBack"/>
      <w:r w:rsidR="00F74066">
        <w:rPr>
          <w:color w:val="000000"/>
        </w:rPr>
        <w:t xml:space="preserve">Punto </w:t>
      </w:r>
      <w:r w:rsidR="00C7224C" w:rsidRPr="00C7224C">
        <w:rPr>
          <w:b/>
          <w:color w:val="000000"/>
          <w:lang w:val="es-PA"/>
        </w:rPr>
        <w:t>5.0 DESCRIPCIÓN DEL PROYECTO</w:t>
      </w:r>
      <w:r w:rsidR="00C7224C">
        <w:rPr>
          <w:b/>
          <w:color w:val="000000"/>
          <w:lang w:val="es-PA"/>
        </w:rPr>
        <w:t xml:space="preserve">, </w:t>
      </w:r>
      <w:r w:rsidR="002919BD">
        <w:rPr>
          <w:color w:val="000000"/>
          <w:lang w:val="es-PA"/>
        </w:rPr>
        <w:t>página 15</w:t>
      </w:r>
      <w:r w:rsidR="00F74066">
        <w:rPr>
          <w:color w:val="000000"/>
          <w:lang w:val="es-PA"/>
        </w:rPr>
        <w:t xml:space="preserve">, del </w:t>
      </w:r>
      <w:r w:rsidR="00F74066">
        <w:rPr>
          <w:color w:val="000000"/>
        </w:rPr>
        <w:t xml:space="preserve">Estudio de Impacto Ambiental Categoría I, denominado </w:t>
      </w:r>
      <w:r w:rsidR="00345EDF" w:rsidRPr="00F74066">
        <w:rPr>
          <w:b/>
          <w:bCs/>
          <w:lang w:val="es-PA"/>
        </w:rPr>
        <w:t>“</w:t>
      </w:r>
      <w:r w:rsidR="002919BD">
        <w:rPr>
          <w:b/>
          <w:bCs/>
          <w:color w:val="000000"/>
          <w:lang w:val="es-PA"/>
        </w:rPr>
        <w:t>RESIDENCIAL LOMA LA JAGUA</w:t>
      </w:r>
      <w:r w:rsidR="00345EDF" w:rsidRPr="00F74066">
        <w:rPr>
          <w:b/>
          <w:bCs/>
          <w:color w:val="000000"/>
          <w:lang w:val="es-PA"/>
        </w:rPr>
        <w:t>”,</w:t>
      </w:r>
      <w:r w:rsidR="00345EDF">
        <w:rPr>
          <w:bCs/>
          <w:color w:val="000000"/>
          <w:lang w:val="es-PA"/>
        </w:rPr>
        <w:t xml:space="preserve"> </w:t>
      </w:r>
      <w:r w:rsidR="00F74066">
        <w:rPr>
          <w:bCs/>
          <w:color w:val="000000"/>
          <w:lang w:val="es-PA"/>
        </w:rPr>
        <w:t>indica textualmente que</w:t>
      </w:r>
      <w:r w:rsidR="00345EDF" w:rsidRPr="00345EDF">
        <w:rPr>
          <w:bCs/>
          <w:i/>
          <w:color w:val="000000"/>
          <w:lang w:val="es-PA"/>
        </w:rPr>
        <w:t>…</w:t>
      </w:r>
      <w:r w:rsidR="00345EDF" w:rsidRPr="00F74066">
        <w:rPr>
          <w:bCs/>
          <w:i/>
          <w:color w:val="000000"/>
          <w:lang w:val="es-PA"/>
        </w:rPr>
        <w:t>“</w:t>
      </w:r>
      <w:r w:rsidR="002919BD" w:rsidRPr="002919BD">
        <w:rPr>
          <w:bCs/>
          <w:i/>
          <w:color w:val="000000"/>
          <w:lang w:val="es-PA"/>
        </w:rPr>
        <w:t>consiste en el desarrollo de un proyecto residencial, que involucra la construcción de 62 viviendas para la venta, sobre un globo de terreno con una superficie de 3 ha + 362.09 m2, perteneciente a la Finca con Folio Real 21477, Código 7001, superficie de 9 ha + 9863.26 m2</w:t>
      </w:r>
      <w:r w:rsidR="00C7224C">
        <w:rPr>
          <w:bCs/>
          <w:i/>
          <w:color w:val="000000"/>
          <w:lang w:val="es-PA"/>
        </w:rPr>
        <w:t>”</w:t>
      </w:r>
      <w:r w:rsidR="00C7224C" w:rsidRPr="00C7224C">
        <w:rPr>
          <w:bCs/>
          <w:i/>
          <w:color w:val="000000"/>
          <w:lang w:val="es-PA"/>
        </w:rPr>
        <w:t>.</w:t>
      </w:r>
      <w:bookmarkEnd w:id="0"/>
    </w:p>
    <w:tbl>
      <w:tblPr>
        <w:tblpPr w:leftFromText="141" w:rightFromText="141" w:vertAnchor="page" w:horzAnchor="margin" w:tblpY="4426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7224C" w:rsidTr="002919BD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2919BD" w:rsidP="002919B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23</w:t>
            </w:r>
            <w:r w:rsidR="00C7224C"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 w:rsidR="00C722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OCTU</w:t>
            </w:r>
            <w:r w:rsidR="00C7224C"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BRE DE 2019</w:t>
            </w:r>
          </w:p>
        </w:tc>
      </w:tr>
      <w:tr w:rsidR="00C7224C" w:rsidTr="002919BD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2919BD" w:rsidP="002919B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24</w:t>
            </w:r>
            <w:r w:rsidR="00C7224C"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 w:rsidR="00C7224C"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 w:rsidR="00C7224C" w:rsidRPr="007D3B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OCTUBRE</w:t>
            </w:r>
            <w:r w:rsidR="00C7224C"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 w:rsidR="00C7224C"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2019</w:t>
            </w:r>
          </w:p>
        </w:tc>
      </w:tr>
      <w:tr w:rsidR="00C7224C" w:rsidTr="002919BD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2919BD">
            <w:pPr>
              <w:jc w:val="both"/>
            </w:pPr>
            <w:r>
              <w:rPr>
                <w:bCs/>
                <w:lang w:val="es-PA"/>
              </w:rPr>
              <w:t>LOS SANTOS SOLAR</w:t>
            </w:r>
          </w:p>
        </w:tc>
      </w:tr>
      <w:tr w:rsidR="00C7224C" w:rsidTr="002919BD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D52B72" w:rsidRDefault="00C7224C" w:rsidP="002919BD">
            <w:pPr>
              <w:jc w:val="both"/>
            </w:pPr>
            <w:r>
              <w:t>I</w:t>
            </w:r>
          </w:p>
        </w:tc>
      </w:tr>
      <w:tr w:rsidR="00C7224C" w:rsidTr="002919BD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2919BD" w:rsidRDefault="002919BD" w:rsidP="002919BD">
            <w:pPr>
              <w:jc w:val="both"/>
              <w:rPr>
                <w:bCs/>
                <w:color w:val="000000"/>
                <w:lang w:val="es-PA" w:eastAsia="es-PA"/>
              </w:rPr>
            </w:pPr>
            <w:r w:rsidRPr="002919BD">
              <w:rPr>
                <w:bCs/>
                <w:color w:val="000000"/>
                <w:lang w:val="es-PA" w:eastAsia="es-PA"/>
              </w:rPr>
              <w:t>COOPERATIVA DE SERVICIOS INTEGRALES JOSÉ DEL CARMEN DOMÍNGUEZ, R.L. (JOCADOM).</w:t>
            </w:r>
          </w:p>
        </w:tc>
      </w:tr>
      <w:tr w:rsidR="00C7224C" w:rsidTr="002919BD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2919BD" w:rsidRPr="002919BD" w:rsidRDefault="002919BD" w:rsidP="002919BD">
            <w:pPr>
              <w:tabs>
                <w:tab w:val="left" w:pos="3600"/>
              </w:tabs>
              <w:jc w:val="both"/>
              <w:rPr>
                <w:bCs/>
                <w:color w:val="000000"/>
                <w:lang w:val="es-PA" w:eastAsia="es-PA"/>
              </w:rPr>
            </w:pPr>
            <w:r w:rsidRPr="002919BD">
              <w:rPr>
                <w:bCs/>
                <w:color w:val="000000"/>
                <w:lang w:val="es-PA" w:eastAsia="es-PA"/>
              </w:rPr>
              <w:t>OTILIA SANCHEZ                  IAR-035-2000</w:t>
            </w:r>
          </w:p>
          <w:p w:rsidR="00C7224C" w:rsidRPr="007D3B73" w:rsidRDefault="002919BD" w:rsidP="002919BD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2919BD">
              <w:rPr>
                <w:bCs/>
                <w:color w:val="000000"/>
                <w:lang w:val="es-PA" w:eastAsia="es-PA"/>
              </w:rPr>
              <w:t>LUIS QUIJADA                        IAR-051-98</w:t>
            </w:r>
          </w:p>
        </w:tc>
      </w:tr>
      <w:tr w:rsidR="00C7224C" w:rsidTr="002919BD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C7224C" w:rsidRDefault="00C7224C" w:rsidP="002919BD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LOCALIZACIÓN: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C7224C" w:rsidRPr="002919BD" w:rsidRDefault="002919BD" w:rsidP="002919BD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 w:rsidRPr="002919BD">
              <w:rPr>
                <w:bCs/>
                <w:color w:val="000000"/>
                <w:lang w:val="es-PA"/>
              </w:rPr>
              <w:t>SECTOR DE LOMA DEL JAGUA, CORREGIMIENTO DE GUARARÉ (CABECERA), DISTRITO DE GUARARÉ, PROVINCIA DE LOS SANTOS.</w:t>
            </w:r>
          </w:p>
        </w:tc>
      </w:tr>
    </w:tbl>
    <w:p w:rsidR="0029700E" w:rsidRPr="007D3B73" w:rsidRDefault="0029700E" w:rsidP="0058637E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  <w:lang w:val="es-PA"/>
        </w:rPr>
      </w:pPr>
    </w:p>
    <w:p w:rsidR="002E6803" w:rsidRDefault="0049345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</w:p>
    <w:p w:rsidR="002E6803" w:rsidRDefault="00493453">
      <w:pPr>
        <w:spacing w:line="276" w:lineRule="auto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</w:t>
      </w:r>
      <w:r w:rsidR="002919BD">
        <w:t>,</w:t>
      </w:r>
      <w:r>
        <w:t xml:space="preserve"> se inició el procedimiento administrativo para la evaluación de Estudios de Impacto Ambiental (EsIA), Fase de admisión.</w:t>
      </w:r>
    </w:p>
    <w:p w:rsidR="00290C24" w:rsidRDefault="00290C24" w:rsidP="00290C24">
      <w:pPr>
        <w:spacing w:line="276" w:lineRule="auto"/>
        <w:jc w:val="both"/>
        <w:rPr>
          <w:lang w:val="es-PA"/>
        </w:rPr>
      </w:pPr>
    </w:p>
    <w:p w:rsidR="00290C24" w:rsidRPr="00290C24" w:rsidRDefault="00290C24" w:rsidP="00290C24">
      <w:pPr>
        <w:spacing w:line="276" w:lineRule="auto"/>
        <w:jc w:val="both"/>
        <w:rPr>
          <w:lang w:val="es-PA"/>
        </w:rPr>
      </w:pPr>
      <w:r w:rsidRPr="00290C24">
        <w:rPr>
          <w:lang w:val="es-PA"/>
        </w:rPr>
        <w:t>Que luego de revisado el documento se evidenció que el mismo cumple con los contenidos mínimos establecidos en el artículo 26 y lo establecido en los artículos 38, 39 y 62 del Decreto Ejecutivo 12</w:t>
      </w:r>
      <w:r>
        <w:rPr>
          <w:lang w:val="es-PA"/>
        </w:rPr>
        <w:t>3 de 14 de agosto de 2009</w:t>
      </w:r>
      <w:r w:rsidRPr="00290C24">
        <w:rPr>
          <w:lang w:val="es-PA"/>
        </w:rPr>
        <w:t>.</w:t>
      </w:r>
    </w:p>
    <w:p w:rsidR="0088017A" w:rsidRPr="0088017A" w:rsidRDefault="0088017A">
      <w:pPr>
        <w:tabs>
          <w:tab w:val="left" w:pos="3494"/>
          <w:tab w:val="left" w:pos="3686"/>
        </w:tabs>
        <w:jc w:val="both"/>
        <w:rPr>
          <w:vertAlign w:val="superscript"/>
        </w:rPr>
      </w:pPr>
    </w:p>
    <w:p w:rsidR="002E6803" w:rsidRPr="002919BD" w:rsidRDefault="00493453">
      <w:pPr>
        <w:jc w:val="both"/>
        <w:rPr>
          <w:b/>
          <w:bCs/>
          <w:color w:val="000000"/>
          <w:lang w:val="es-MX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Por lo antes expuesto, se recomienda </w:t>
      </w:r>
      <w:r w:rsidR="005F3401" w:rsidRPr="005F3401">
        <w:rPr>
          <w:b/>
          <w:color w:val="000000"/>
        </w:rPr>
        <w:t>Admitir,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5F3401">
        <w:rPr>
          <w:lang w:val="es-MX" w:eastAsia="es-MX"/>
        </w:rPr>
        <w:t>I</w:t>
      </w:r>
      <w:r>
        <w:t xml:space="preserve"> del proyecto denominado </w:t>
      </w:r>
      <w:r>
        <w:rPr>
          <w:b/>
          <w:bCs/>
          <w:color w:val="000000"/>
        </w:rPr>
        <w:t>“</w:t>
      </w:r>
      <w:r w:rsidR="002919BD" w:rsidRPr="002919BD">
        <w:rPr>
          <w:b/>
          <w:bCs/>
          <w:color w:val="000000"/>
          <w:lang w:val="es-PA"/>
        </w:rPr>
        <w:t>RESIDENCIAL LOMA LA JAGUA</w:t>
      </w:r>
      <w:r>
        <w:rPr>
          <w:b/>
          <w:bCs/>
          <w:color w:val="000000"/>
          <w:lang w:val="es-MX" w:eastAsia="es-MX"/>
        </w:rPr>
        <w:t>”</w:t>
      </w:r>
      <w:r>
        <w:rPr>
          <w:b/>
          <w:bCs/>
          <w:lang w:val="es-MX" w:eastAsia="es-MX"/>
        </w:rPr>
        <w:t>,</w:t>
      </w:r>
      <w:r>
        <w:rPr>
          <w:color w:val="000000"/>
        </w:rPr>
        <w:t xml:space="preserve"> promovido por</w:t>
      </w:r>
      <w:r w:rsidR="007D3B73">
        <w:rPr>
          <w:color w:val="000000"/>
        </w:rPr>
        <w:t xml:space="preserve"> </w:t>
      </w:r>
      <w:r w:rsidR="00C7224C">
        <w:rPr>
          <w:color w:val="000000"/>
        </w:rPr>
        <w:t xml:space="preserve">la </w:t>
      </w:r>
      <w:r w:rsidR="002919BD" w:rsidRPr="002919BD">
        <w:rPr>
          <w:b/>
          <w:bCs/>
          <w:color w:val="000000"/>
          <w:lang w:val="es-PA"/>
        </w:rPr>
        <w:t>COOPERATIVA DE SERVICIOS INTEGRALES JOSÉ DEL CARMEN DOMÍNGUEZ, R.L. (JOCADOM).</w:t>
      </w:r>
    </w:p>
    <w:p w:rsidR="002E6803" w:rsidRDefault="002E6803">
      <w:pPr>
        <w:rPr>
          <w:vanish/>
        </w:rPr>
      </w:pPr>
    </w:p>
    <w:p w:rsidR="002E6803" w:rsidRDefault="002E6803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Y="14386"/>
        <w:tblOverlap w:val="never"/>
        <w:tblW w:w="5664" w:type="dxa"/>
        <w:tblLook w:val="04A0" w:firstRow="1" w:lastRow="0" w:firstColumn="1" w:lastColumn="0" w:noHBand="0" w:noVBand="1"/>
      </w:tblPr>
      <w:tblGrid>
        <w:gridCol w:w="5664"/>
      </w:tblGrid>
      <w:tr w:rsidR="002919BD" w:rsidTr="002919BD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BD" w:rsidRDefault="002919BD" w:rsidP="002919BD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____________________________</w:t>
            </w:r>
          </w:p>
          <w:p w:rsidR="002919BD" w:rsidRPr="00BF3823" w:rsidRDefault="002919BD" w:rsidP="002919BD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olor w:val="000000"/>
              </w:rPr>
              <w:t>JUAN VEGA</w:t>
            </w:r>
          </w:p>
          <w:p w:rsidR="002919BD" w:rsidRDefault="002919BD" w:rsidP="002919BD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olor w:val="000000"/>
              </w:rPr>
              <w:t>DEPARTAMENTO DE EVALUACIÓN  DE IMPACTO AMBIENTAL</w:t>
            </w:r>
          </w:p>
        </w:tc>
      </w:tr>
    </w:tbl>
    <w:tbl>
      <w:tblPr>
        <w:tblpPr w:leftFromText="141" w:rightFromText="141" w:vertAnchor="page" w:horzAnchor="margin" w:tblpXSpec="right" w:tblpY="16486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2919BD" w:rsidTr="002919B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9BD" w:rsidRPr="00BF3823" w:rsidRDefault="002919BD" w:rsidP="002919BD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 w:rsidRPr="00BF3823">
              <w:rPr>
                <w:b/>
                <w:bCs/>
                <w:caps/>
                <w:color w:val="000000"/>
                <w:u w:val="single"/>
              </w:rPr>
              <w:t>_</w:t>
            </w:r>
            <w:r>
              <w:rPr>
                <w:b/>
                <w:bCs/>
                <w:caps/>
                <w:color w:val="000000"/>
                <w:u w:val="single"/>
              </w:rPr>
              <w:t>___________________________</w:t>
            </w:r>
          </w:p>
          <w:p w:rsidR="002919BD" w:rsidRPr="00BF3823" w:rsidRDefault="002919BD" w:rsidP="002919BD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aps/>
                <w:color w:val="000000"/>
              </w:rPr>
              <w:t>e</w:t>
            </w:r>
            <w:r>
              <w:rPr>
                <w:b/>
                <w:bCs/>
                <w:caps/>
                <w:color w:val="000000"/>
              </w:rPr>
              <w:t>milio e. castillo.</w:t>
            </w:r>
          </w:p>
          <w:p w:rsidR="002919BD" w:rsidRDefault="002919BD" w:rsidP="002919BD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director</w:t>
            </w:r>
            <w:r w:rsidRPr="00BF3823">
              <w:rPr>
                <w:b/>
                <w:bCs/>
                <w:caps/>
                <w:color w:val="000000"/>
              </w:rPr>
              <w:t xml:space="preserve"> regional </w:t>
            </w:r>
          </w:p>
          <w:p w:rsidR="002919BD" w:rsidRDefault="002919BD" w:rsidP="002919BD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ministerio de ambiente los santos</w:t>
            </w:r>
          </w:p>
        </w:tc>
      </w:tr>
    </w:tbl>
    <w:p w:rsidR="00493453" w:rsidRDefault="00493453" w:rsidP="00F64D04">
      <w:pPr>
        <w:tabs>
          <w:tab w:val="left" w:pos="708"/>
          <w:tab w:val="center" w:pos="4419"/>
          <w:tab w:val="right" w:pos="8838"/>
        </w:tabs>
      </w:pPr>
    </w:p>
    <w:sectPr w:rsidR="00493453">
      <w:footerReference w:type="default" r:id="rId8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E9" w:rsidRDefault="003718E9">
      <w:r>
        <w:separator/>
      </w:r>
    </w:p>
  </w:endnote>
  <w:endnote w:type="continuationSeparator" w:id="0">
    <w:p w:rsidR="003718E9" w:rsidRDefault="003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03" w:rsidRDefault="0049345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27B4">
      <w:rPr>
        <w:noProof/>
      </w:rPr>
      <w:t>1</w:t>
    </w:r>
    <w:r>
      <w:fldChar w:fldCharType="end"/>
    </w:r>
  </w:p>
  <w:p w:rsidR="002E6803" w:rsidRDefault="002E6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E9" w:rsidRDefault="003718E9">
      <w:r>
        <w:separator/>
      </w:r>
    </w:p>
  </w:footnote>
  <w:footnote w:type="continuationSeparator" w:id="0">
    <w:p w:rsidR="003718E9" w:rsidRDefault="003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8"/>
    <w:rsid w:val="000722C7"/>
    <w:rsid w:val="000B1473"/>
    <w:rsid w:val="000B527F"/>
    <w:rsid w:val="00116893"/>
    <w:rsid w:val="001C5042"/>
    <w:rsid w:val="00290C24"/>
    <w:rsid w:val="002919BD"/>
    <w:rsid w:val="0029700E"/>
    <w:rsid w:val="002E6803"/>
    <w:rsid w:val="00345EDF"/>
    <w:rsid w:val="003718E9"/>
    <w:rsid w:val="003D0D53"/>
    <w:rsid w:val="00481996"/>
    <w:rsid w:val="00493453"/>
    <w:rsid w:val="00511471"/>
    <w:rsid w:val="00560C31"/>
    <w:rsid w:val="0058637E"/>
    <w:rsid w:val="005C2FF1"/>
    <w:rsid w:val="005F3401"/>
    <w:rsid w:val="00615C95"/>
    <w:rsid w:val="007D3B73"/>
    <w:rsid w:val="0088017A"/>
    <w:rsid w:val="0096429E"/>
    <w:rsid w:val="009A1E64"/>
    <w:rsid w:val="009B27B4"/>
    <w:rsid w:val="00B77D6E"/>
    <w:rsid w:val="00B84BE6"/>
    <w:rsid w:val="00BF3823"/>
    <w:rsid w:val="00C4175F"/>
    <w:rsid w:val="00C7224C"/>
    <w:rsid w:val="00D43383"/>
    <w:rsid w:val="00D52B72"/>
    <w:rsid w:val="00DD10CD"/>
    <w:rsid w:val="00E57178"/>
    <w:rsid w:val="00EE70C0"/>
    <w:rsid w:val="00F64D04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Juan Javier Vega</cp:lastModifiedBy>
  <cp:revision>14</cp:revision>
  <cp:lastPrinted>2019-10-24T14:02:00Z</cp:lastPrinted>
  <dcterms:created xsi:type="dcterms:W3CDTF">2019-07-23T19:43:00Z</dcterms:created>
  <dcterms:modified xsi:type="dcterms:W3CDTF">2019-10-28T17:16:00Z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