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r>
        <w:drawing>
          <wp:anchor distT="0" distB="0" distL="114300" distR="114300" simplePos="0" relativeHeight="251659264" behindDoc="0" locked="0" layoutInCell="1" allowOverlap="1">
            <wp:simplePos x="0" y="0"/>
            <wp:positionH relativeFrom="column">
              <wp:posOffset>-1145540</wp:posOffset>
            </wp:positionH>
            <wp:positionV relativeFrom="paragraph">
              <wp:posOffset>-654685</wp:posOffset>
            </wp:positionV>
            <wp:extent cx="2580005" cy="1280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80005" cy="1280795"/>
                    </a:xfrm>
                    <a:prstGeom prst="rect">
                      <a:avLst/>
                    </a:prstGeom>
                    <a:noFill/>
                  </pic:spPr>
                </pic:pic>
              </a:graphicData>
            </a:graphic>
          </wp:anchor>
        </w:drawing>
      </w: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189 </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13 </w:t>
            </w:r>
            <w:r>
              <w:rPr>
                <w:rFonts w:eastAsia="MS Mincho"/>
                <w:color w:val="auto"/>
                <w:sz w:val="24"/>
                <w:szCs w:val="24"/>
                <w:lang w:val="es-PA"/>
              </w:rPr>
              <w:t>DE</w:t>
            </w:r>
            <w:r>
              <w:rPr>
                <w:rFonts w:hint="default" w:eastAsia="MS Mincho"/>
                <w:color w:val="auto"/>
                <w:sz w:val="24"/>
                <w:szCs w:val="24"/>
                <w:lang w:val="es-PA"/>
              </w:rPr>
              <w:t xml:space="preserve"> NOVIEMBRE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hint="default" w:ascii="Times New Roman" w:hAnsi="Times New Roman" w:eastAsia="MS Mincho" w:cs="Times New Roman"/>
                <w:b w:val="0"/>
                <w:bCs/>
                <w:color w:val="auto"/>
                <w:sz w:val="24"/>
                <w:szCs w:val="24"/>
                <w:lang w:val="es-PA"/>
              </w:rPr>
            </w:pPr>
            <w:r>
              <w:rPr>
                <w:rFonts w:hint="default" w:ascii="Times New Roman" w:hAnsi="Times New Roman" w:eastAsia="sans-serif" w:cs="Times New Roman"/>
                <w:sz w:val="24"/>
                <w:szCs w:val="24"/>
              </w:rPr>
              <w:t>CONSTRUCCIÓN DE LOCALES COMERCIALES PLANTA BAJA, VIVIENDA UNIFAMILIAR PLANTA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eastAsia="sans-serif" w:cs="Times New Roman"/>
                <w:sz w:val="24"/>
                <w:szCs w:val="24"/>
              </w:rPr>
              <w:t>JIECHAO CHEN</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HUIXIAN CEN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ans-serif" w:cs="Times New Roman"/>
                <w:sz w:val="24"/>
                <w:szCs w:val="24"/>
              </w:rPr>
              <w:t>JIECHAO CHEN</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HUIXIAN CEN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GEORGIA JARAMILLO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IRC-004-11 </w:t>
            </w:r>
          </w:p>
          <w:p>
            <w:pPr>
              <w:spacing w:before="120" w:after="120"/>
              <w:rPr>
                <w:rFonts w:hint="default" w:ascii="Times New Roman" w:hAnsi="Times New Roman" w:cs="Times New Roman"/>
                <w:b w:val="0"/>
                <w:bCs/>
                <w:sz w:val="24"/>
                <w:szCs w:val="24"/>
                <w:lang w:val="es-PA"/>
              </w:rPr>
            </w:pPr>
            <w:r>
              <w:rPr>
                <w:rFonts w:hint="default" w:ascii="Times New Roman" w:hAnsi="Times New Roman" w:eastAsia="sans-serif" w:cs="Times New Roman"/>
                <w:sz w:val="24"/>
                <w:szCs w:val="24"/>
              </w:rPr>
              <w:t>CARLOTA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SANDOVAL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IAR-049-00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CHAME,  CORREGIMIENTO DE BEJUCO.</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28</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 xml:space="preserve"> los</w:t>
      </w:r>
      <w:r>
        <w:rPr>
          <w:color w:val="auto"/>
          <w:spacing w:val="-3"/>
          <w:lang w:val="es-PA"/>
        </w:rPr>
        <w:t xml:space="preserve"> promotor</w:t>
      </w:r>
      <w:r>
        <w:rPr>
          <w:rFonts w:hint="default"/>
          <w:color w:val="auto"/>
          <w:spacing w:val="-3"/>
          <w:lang w:val="es-PA"/>
        </w:rPr>
        <w:t xml:space="preserve">es </w:t>
      </w:r>
      <w:r>
        <w:rPr>
          <w:rFonts w:hint="default" w:eastAsia="Calibri"/>
          <w:b w:val="0"/>
          <w:bCs w:val="0"/>
          <w:color w:val="auto"/>
          <w:lang w:val="es-PA"/>
        </w:rPr>
        <w:t xml:space="preserve">y representantes legales </w:t>
      </w:r>
      <w:r>
        <w:rPr>
          <w:rFonts w:hint="default" w:ascii="Times New Roman" w:hAnsi="Times New Roman" w:eastAsia="sans-serif" w:cs="Times New Roman"/>
          <w:sz w:val="24"/>
          <w:szCs w:val="24"/>
        </w:rPr>
        <w:t>JIECHAO CHEN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HUIXIAN CEN</w:t>
      </w:r>
      <w:r>
        <w:rPr>
          <w:rFonts w:hint="default" w:ascii="Times New Roman" w:hAnsi="Times New Roman" w:eastAsia="sans-serif" w:cs="Times New Roman"/>
          <w:sz w:val="24"/>
          <w:szCs w:val="24"/>
          <w:lang w:val="es-PA"/>
        </w:rPr>
        <w:t xml:space="preserve">, </w:t>
      </w:r>
      <w:r>
        <w:rPr>
          <w:rFonts w:hint="default" w:eastAsia="sans-serif" w:cs="Times New Roman"/>
          <w:sz w:val="24"/>
          <w:szCs w:val="24"/>
          <w:lang w:val="es-PA"/>
        </w:rPr>
        <w:t>de nacionalidad china c</w:t>
      </w:r>
      <w:r>
        <w:rPr>
          <w:rFonts w:hint="default" w:eastAsia="Calibri"/>
          <w:b w:val="0"/>
          <w:bCs w:val="0"/>
          <w:color w:val="auto"/>
          <w:lang w:val="es-PA"/>
        </w:rPr>
        <w:t xml:space="preserve">on cédula </w:t>
      </w:r>
      <w:r>
        <w:rPr>
          <w:b/>
          <w:highlight w:val="none"/>
        </w:rPr>
        <w:t>N°</w:t>
      </w:r>
      <w:r>
        <w:rPr>
          <w:rFonts w:hint="default"/>
          <w:b/>
          <w:highlight w:val="none"/>
          <w:lang w:val="es-PA"/>
        </w:rPr>
        <w:t xml:space="preserve"> </w:t>
      </w:r>
      <w:r>
        <w:rPr>
          <w:rFonts w:hint="default" w:ascii="Times New Roman" w:hAnsi="Times New Roman" w:eastAsia="SimSun" w:cs="Times New Roman"/>
          <w:sz w:val="24"/>
          <w:szCs w:val="24"/>
        </w:rPr>
        <w:t>E-8-9</w:t>
      </w:r>
      <w:r>
        <w:rPr>
          <w:rFonts w:hint="default" w:eastAsia="SimSun" w:cs="Times New Roman"/>
          <w:sz w:val="24"/>
          <w:szCs w:val="24"/>
          <w:lang w:val="es-PA"/>
        </w:rPr>
        <w:t>1370 y N° E-8-95689 respectivamente</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aron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ans-serif" w:cs="Times New Roman"/>
          <w:sz w:val="24"/>
          <w:szCs w:val="24"/>
        </w:rPr>
        <w:t>CONSTRUCCIÓN DE LOCALES COMERCIALES PLANTA BAJA, VIVIENDA UNIFAMILIAR PLANTA ALTA</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Bejuco, </w:t>
      </w:r>
      <w:r>
        <w:rPr>
          <w:rFonts w:hint="default" w:ascii="Times New Roman" w:hAnsi="Times New Roman" w:eastAsia="Times New Roman" w:cs="Times New Roman"/>
          <w:spacing w:val="-3"/>
          <w:sz w:val="24"/>
          <w:szCs w:val="24"/>
          <w:lang w:val="es-PA" w:eastAsia="es-ES"/>
        </w:rPr>
        <w:t>distrito de</w:t>
      </w:r>
      <w:r>
        <w:rPr>
          <w:rFonts w:hint="default" w:cs="Times New Roman"/>
          <w:spacing w:val="-3"/>
          <w:sz w:val="24"/>
          <w:szCs w:val="24"/>
          <w:lang w:val="es-PA" w:eastAsia="es-ES"/>
        </w:rPr>
        <w:t xml:space="preserve"> Chame, </w:t>
      </w:r>
      <w:r>
        <w:rPr>
          <w:rFonts w:hint="default" w:ascii="Times New Roman" w:hAnsi="Times New Roman" w:eastAsia="Times New Roman" w:cs="Times New Roman"/>
          <w:spacing w:val="-3"/>
          <w:sz w:val="24"/>
          <w:szCs w:val="24"/>
          <w:lang w:val="es-PA" w:eastAsia="es-ES"/>
        </w:rPr>
        <w:t>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ascii="Times New Roman" w:hAnsi="Times New Roman" w:eastAsia="sans-serif" w:cs="Times New Roman"/>
          <w:sz w:val="24"/>
          <w:szCs w:val="24"/>
        </w:rPr>
        <w:t>GEORGIA JARAMILLO</w:t>
      </w:r>
      <w:r>
        <w:rPr>
          <w:rFonts w:hint="default" w:ascii="sans-serif" w:hAnsi="sans-serif" w:eastAsia="sans-serif" w:cs="sans-serif"/>
          <w:sz w:val="35"/>
          <w:szCs w:val="35"/>
          <w:lang w:val="es-PA"/>
        </w:rPr>
        <w:t xml:space="preserve"> </w:t>
      </w:r>
      <w:r>
        <w:rPr>
          <w:rFonts w:hint="default" w:ascii="Times New Roman" w:hAnsi="Times New Roman" w:eastAsia="sans-serif" w:cs="Times New Roman"/>
          <w:sz w:val="24"/>
          <w:szCs w:val="24"/>
          <w:lang w:val="es-PA"/>
        </w:rPr>
        <w:t xml:space="preserve">y </w:t>
      </w:r>
      <w:r>
        <w:rPr>
          <w:rFonts w:hint="default" w:ascii="Times New Roman" w:hAnsi="Times New Roman" w:eastAsia="sans-serif" w:cs="Times New Roman"/>
          <w:sz w:val="24"/>
          <w:szCs w:val="24"/>
        </w:rPr>
        <w:t>CARLOTA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SANDOVAL</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ans-serif" w:cs="Times New Roman"/>
          <w:sz w:val="24"/>
          <w:szCs w:val="24"/>
        </w:rPr>
        <w:t>IRC-004-11</w:t>
      </w:r>
      <w:r>
        <w:rPr>
          <w:rFonts w:hint="default" w:ascii="Times New Roman" w:hAnsi="Times New Roman" w:cs="Times New Roman"/>
          <w:b w:val="0"/>
          <w:bCs/>
          <w:sz w:val="24"/>
          <w:szCs w:val="24"/>
          <w:lang w:val="es-PA"/>
        </w:rPr>
        <w:t xml:space="preserve"> e </w:t>
      </w:r>
      <w:r>
        <w:rPr>
          <w:rFonts w:hint="default" w:ascii="Times New Roman" w:hAnsi="Times New Roman" w:eastAsia="sans-serif" w:cs="Times New Roman"/>
          <w:sz w:val="24"/>
          <w:szCs w:val="24"/>
        </w:rPr>
        <w:t>IAR-049-2000</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101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12</w:t>
      </w:r>
      <w:r>
        <w:rPr>
          <w:color w:val="auto"/>
          <w:spacing w:val="-3"/>
          <w:lang w:val="es-PA"/>
        </w:rPr>
        <w:t xml:space="preserve"> </w:t>
      </w:r>
      <w:r>
        <w:rPr>
          <w:color w:val="auto"/>
          <w:spacing w:val="-3"/>
        </w:rPr>
        <w:t xml:space="preserve">de </w:t>
      </w:r>
      <w:r>
        <w:rPr>
          <w:rFonts w:hint="default"/>
          <w:color w:val="auto"/>
          <w:spacing w:val="-3"/>
          <w:lang w:val="es-PA"/>
        </w:rPr>
        <w:t xml:space="preserve">noviembre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rPr>
        <w:t>CONSTRUCCIÓN DE LOCALES COMERCIALES PLANTA BAJA, VIVIENDA UNIFAMILIAR PLANTA ALTA</w:t>
      </w:r>
      <w:r>
        <w:rPr>
          <w:rFonts w:hint="default"/>
          <w:lang w:val="es-PA"/>
        </w:rPr>
        <w:t xml:space="preserve">, </w:t>
      </w:r>
      <w:r>
        <w:rPr>
          <w:rFonts w:hint="default" w:ascii="Times New Roman" w:hAnsi="Times New Roman" w:eastAsia="sans-serif" w:cs="Times New Roman"/>
          <w:sz w:val="24"/>
          <w:szCs w:val="24"/>
        </w:rPr>
        <w:t xml:space="preserve">El proyecto consiste en la </w:t>
      </w:r>
      <w:r>
        <w:rPr>
          <w:rFonts w:hint="default" w:ascii="Times New Roman" w:hAnsi="Times New Roman" w:eastAsia="sans-serif" w:cs="Times New Roman"/>
          <w:sz w:val="24"/>
          <w:szCs w:val="24"/>
          <w:lang w:val="es-PA"/>
        </w:rPr>
        <w:t>construcción</w:t>
      </w:r>
      <w:r>
        <w:rPr>
          <w:rFonts w:hint="default" w:ascii="Times New Roman" w:hAnsi="Times New Roman" w:eastAsia="sans-serif" w:cs="Times New Roman"/>
          <w:sz w:val="24"/>
          <w:szCs w:val="24"/>
        </w:rPr>
        <w:t xml:space="preserve"> de un edificio de dos pisos donde se ubicara la vivienda unifamiliar del promotor en la planta alta, contara </w:t>
      </w:r>
      <w:bookmarkStart w:id="0" w:name="_GoBack"/>
      <w:bookmarkEnd w:id="0"/>
      <w:r>
        <w:rPr>
          <w:rFonts w:hint="default" w:ascii="Times New Roman" w:hAnsi="Times New Roman" w:eastAsia="sans-serif" w:cs="Times New Roman"/>
          <w:sz w:val="24"/>
          <w:szCs w:val="24"/>
        </w:rPr>
        <w:t xml:space="preserve">con cuartos, baños, cocina, comedor, sala, lavandería, cuarto de juego y en la planta baja estar ubicado dos locales comerciales y en la planta baja estar ubicado dos locales comerciales con su respectivo baño, estacionamiento, </w:t>
      </w:r>
      <w:r>
        <w:rPr>
          <w:rFonts w:hint="default" w:ascii="Times New Roman" w:hAnsi="Times New Roman" w:eastAsia="sans-serif" w:cs="Times New Roman"/>
          <w:sz w:val="24"/>
          <w:szCs w:val="24"/>
          <w:lang w:val="es-PA"/>
        </w:rPr>
        <w:t>tinaqueras</w:t>
      </w:r>
      <w:r>
        <w:rPr>
          <w:rFonts w:hint="default" w:ascii="Times New Roman" w:hAnsi="Times New Roman" w:eastAsia="sans-serif" w:cs="Times New Roman"/>
          <w:sz w:val="24"/>
          <w:szCs w:val="24"/>
        </w:rPr>
        <w:t>, escalera y garaje, contara con agua potable, luz eléctrica, alcantarillado y cualquier otro tipo de material que corresponda para la construcción del proyecto. El proyecto estará ubicado Corregimiento de Bejuco, distrito de Chame, provincia de Panam</w:t>
      </w:r>
      <w:r>
        <w:rPr>
          <w:rFonts w:hint="default" w:ascii="Times New Roman" w:hAnsi="Times New Roman" w:eastAsia="sans-serif" w:cs="Times New Roman"/>
          <w:sz w:val="24"/>
          <w:szCs w:val="24"/>
          <w:lang w:val="es-PA"/>
        </w:rPr>
        <w:t>á</w:t>
      </w:r>
      <w:r>
        <w:rPr>
          <w:rFonts w:hint="default" w:ascii="Times New Roman" w:hAnsi="Times New Roman" w:eastAsia="sans-serif" w:cs="Times New Roman"/>
          <w:sz w:val="24"/>
          <w:szCs w:val="24"/>
        </w:rPr>
        <w:t xml:space="preserve"> Oeste. La finca Nº 44032, Código de ubicación 8302, con una superficie 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648.56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m2, el proyecto se realizara sobre una</w:t>
      </w:r>
      <w:r>
        <w:rPr>
          <w:rFonts w:hint="default" w:ascii="Times New Roman" w:hAnsi="Times New Roman" w:eastAsia="sans-serif" w:cs="Times New Roman"/>
          <w:sz w:val="24"/>
          <w:szCs w:val="24"/>
          <w:lang w:val="es-PA"/>
        </w:rPr>
        <w:t xml:space="preserve"> á</w:t>
      </w:r>
      <w:r>
        <w:rPr>
          <w:rFonts w:hint="default" w:ascii="Times New Roman" w:hAnsi="Times New Roman" w:eastAsia="sans-serif" w:cs="Times New Roman"/>
          <w:sz w:val="24"/>
          <w:szCs w:val="24"/>
        </w:rPr>
        <w:t>rea aproximada 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555.56 m2, que nos ocupa para el desarrollo del proyecto</w:t>
      </w:r>
      <w:r>
        <w:rPr>
          <w:rFonts w:hint="default" w:ascii="sans-serif" w:hAnsi="sans-serif" w:eastAsia="sans-serif" w:cs="sans-serif"/>
          <w:sz w:val="30"/>
          <w:szCs w:val="30"/>
          <w:lang w:val="es-PA"/>
        </w:rPr>
        <w:t xml:space="preserve"> </w:t>
      </w:r>
      <w:r>
        <w:rPr>
          <w:rFonts w:hint="default" w:ascii="Times New Roman" w:hAnsi="Times New Roman" w:cs="Times New Roman"/>
          <w:b w:val="0"/>
          <w:bCs w:val="0"/>
          <w:color w:val="auto"/>
          <w:sz w:val="24"/>
          <w:szCs w:val="24"/>
          <w:lang w:val="es-PA"/>
        </w:rPr>
        <w:t xml:space="preserve">de la </w:t>
      </w:r>
      <w:r>
        <w:rPr>
          <w:rFonts w:hint="default"/>
          <w:color w:val="auto"/>
        </w:rPr>
        <w:t xml:space="preserve"> sección de la propiedad de la provincia de </w:t>
      </w:r>
      <w:r>
        <w:rPr>
          <w:rFonts w:hint="default"/>
          <w:color w:val="auto"/>
          <w:lang w:val="es-PA"/>
        </w:rPr>
        <w:t>P</w:t>
      </w:r>
      <w:r>
        <w:rPr>
          <w:rFonts w:hint="default"/>
          <w:color w:val="auto"/>
        </w:rPr>
        <w:t>anamá de registro público</w:t>
      </w:r>
      <w:r>
        <w:rPr>
          <w:rFonts w:hint="default"/>
          <w:color w:val="auto"/>
          <w:lang w:val="es-PA"/>
        </w:rPr>
        <w:t>.</w:t>
      </w:r>
      <w:r>
        <w:rPr>
          <w:rFonts w:hint="default"/>
          <w:color w:val="FF0000"/>
          <w:lang w:val="es-PA"/>
        </w:rPr>
        <w:t xml:space="preserve"> </w:t>
      </w: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Bejuco, Distrito de Chame</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sobre las siguientes coordenadas de ubicación UTM, DATUM WGS84:</w:t>
      </w: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lang w:val="es-PA"/>
        </w:rPr>
        <w:object>
          <v:shape id="_x0000_i1025" o:spt="75" type="#_x0000_t75" style="height:76.5pt;width:440.35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eastAsia="sans-serif" w:cs="Times New Roman"/>
          <w:sz w:val="24"/>
          <w:szCs w:val="24"/>
          <w:lang w:val="es-PA"/>
        </w:rPr>
      </w:pP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eastAsia="sans-serif" w:cs="Times New Roman"/>
          <w:sz w:val="24"/>
          <w:szCs w:val="24"/>
          <w:lang w:val="es-PA"/>
        </w:rPr>
      </w:pPr>
      <w:r>
        <w:rPr>
          <w:rFonts w:hint="default" w:eastAsia="Cambria" w:cs="Times New Roman"/>
          <w:color w:val="auto"/>
          <w:sz w:val="24"/>
          <w:lang w:val="es-PA"/>
        </w:rPr>
        <w:t>L</w:t>
      </w:r>
      <w:r>
        <w:rPr>
          <w:rFonts w:hint="default" w:ascii="Times New Roman" w:hAnsi="Times New Roman" w:eastAsia="Cambria" w:cs="Times New Roman"/>
          <w:color w:val="auto"/>
          <w:sz w:val="24"/>
          <w:lang w:val="es-PA"/>
        </w:rPr>
        <w:t xml:space="preserve">ocalizado en el </w:t>
      </w:r>
      <w:r>
        <w:rPr>
          <w:rFonts w:hint="default" w:ascii="Times New Roman" w:hAnsi="Times New Roman" w:eastAsia="sans-serif" w:cs="Times New Roman"/>
          <w:sz w:val="24"/>
          <w:szCs w:val="24"/>
        </w:rPr>
        <w:t xml:space="preserve">Corregimiento de </w:t>
      </w:r>
      <w:r>
        <w:rPr>
          <w:rFonts w:hint="default" w:eastAsia="sans-serif" w:cs="Times New Roman"/>
          <w:sz w:val="24"/>
          <w:szCs w:val="24"/>
          <w:lang w:val="es-PA"/>
        </w:rPr>
        <w:t>Bejuco</w:t>
      </w:r>
      <w:r>
        <w:rPr>
          <w:rFonts w:hint="default" w:ascii="Times New Roman" w:hAnsi="Times New Roman" w:eastAsia="sans-serif" w:cs="Times New Roman"/>
          <w:sz w:val="24"/>
          <w:szCs w:val="24"/>
          <w:lang w:val="es-PA"/>
        </w:rPr>
        <w:t>, d</w:t>
      </w:r>
      <w:r>
        <w:rPr>
          <w:rFonts w:hint="default" w:ascii="Times New Roman" w:hAnsi="Times New Roman" w:cs="Times New Roman"/>
          <w:color w:val="000000"/>
          <w:lang w:val="es-PA"/>
        </w:rPr>
        <w:t xml:space="preserve">istrito de </w:t>
      </w:r>
      <w:r>
        <w:rPr>
          <w:rFonts w:hint="default" w:cs="Times New Roman"/>
          <w:color w:val="000000"/>
          <w:lang w:val="es-PA"/>
        </w:rPr>
        <w:t>Chame</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 xml:space="preserve">. </w:t>
      </w: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b w:val="0"/>
          <w:color w:val="auto"/>
          <w:sz w:val="24"/>
          <w:szCs w:val="24"/>
          <w:lang w:val="en-US" w:eastAsia="es-PA"/>
        </w:rPr>
      </w:pPr>
      <w:r>
        <w:rPr>
          <w:color w:val="auto"/>
          <w:lang w:val="es-PA" w:eastAsia="es-PA"/>
        </w:rPr>
        <w:t>En cuanto</w:t>
      </w:r>
      <w:r>
        <w:rPr>
          <w:color w:val="FF0000"/>
          <w:lang w:val="es-PA" w:eastAsia="es-PA"/>
        </w:rPr>
        <w:t xml:space="preserve"> </w:t>
      </w:r>
      <w:r>
        <w:rPr>
          <w:color w:val="auto"/>
          <w:lang w:val="es-PA" w:eastAsia="es-PA"/>
        </w:rPr>
        <w:t xml:space="preserve">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eastAsia="sans-serif" w:cs="Times New Roman"/>
          <w:sz w:val="24"/>
          <w:szCs w:val="24"/>
        </w:rPr>
        <w:t>El área del proyecto se puede catalogar como Bosque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seco </w:t>
      </w:r>
      <w:r>
        <w:rPr>
          <w:rFonts w:hint="default" w:ascii="Times New Roman" w:hAnsi="Times New Roman" w:eastAsia="sans-serif" w:cs="Times New Roman"/>
          <w:sz w:val="24"/>
          <w:szCs w:val="24"/>
          <w:lang w:val="es-PA"/>
        </w:rPr>
        <w:t xml:space="preserve">húmedo </w:t>
      </w:r>
      <w:r>
        <w:rPr>
          <w:rFonts w:hint="default" w:ascii="Times New Roman" w:hAnsi="Times New Roman" w:eastAsia="sans-serif" w:cs="Times New Roman"/>
          <w:sz w:val="24"/>
          <w:szCs w:val="24"/>
        </w:rPr>
        <w:t xml:space="preserve">tropical de acuerdo al sistema de clasificación de Zonas de vida de Holdridge, totalmente modificado por la acción antropogénica caracterizándose por encontrar </w:t>
      </w:r>
      <w:r>
        <w:rPr>
          <w:rFonts w:hint="default" w:ascii="Times New Roman" w:hAnsi="Times New Roman" w:eastAsia="sans-serif" w:cs="Times New Roman"/>
          <w:sz w:val="24"/>
          <w:szCs w:val="24"/>
          <w:lang w:val="es-PA"/>
        </w:rPr>
        <w:t>supermercados</w:t>
      </w:r>
      <w:r>
        <w:rPr>
          <w:rFonts w:hint="default" w:ascii="Times New Roman" w:hAnsi="Times New Roman" w:eastAsia="sans-serif" w:cs="Times New Roman"/>
          <w:sz w:val="24"/>
          <w:szCs w:val="24"/>
        </w:rPr>
        <w:t>, panadería, hielerias, farmacias, restaurante, mueblería y residencias</w:t>
      </w:r>
      <w:r>
        <w:rPr>
          <w:rFonts w:hint="default" w:ascii="Times New Roman" w:hAnsi="Times New Roman" w:eastAsia="sans-serif" w:cs="Times New Roman"/>
          <w:sz w:val="24"/>
          <w:szCs w:val="24"/>
          <w:lang w:val="es-PA"/>
        </w:rPr>
        <w:t xml:space="preserve">. </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 en toda parte del polígono</w:t>
      </w:r>
      <w:r>
        <w:rPr>
          <w:rFonts w:hint="default" w:eastAsia="sans-serif" w:cs="Times New Roman"/>
          <w:sz w:val="24"/>
          <w:szCs w:val="24"/>
          <w:lang w:val="es-PA"/>
        </w:rPr>
        <w:t>.</w:t>
      </w:r>
      <w:r>
        <w:rPr>
          <w:rFonts w:hint="default" w:ascii="Times New Roman" w:hAnsi="Times New Roman" w:cs="Times New Roman"/>
          <w:color w:val="auto"/>
          <w:sz w:val="24"/>
          <w:szCs w:val="24"/>
          <w:lang w:val="en-US" w:eastAsia="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Lo que dentro del sitio no aplica cuerpo de agua.</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b/>
          <w:sz w:val="24"/>
          <w:szCs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eastAsia="sans-serif" w:cs="Times New Roman"/>
          <w:sz w:val="24"/>
          <w:szCs w:val="24"/>
          <w:lang w:val="es-PA"/>
        </w:rPr>
        <w:t>N</w:t>
      </w:r>
      <w:r>
        <w:rPr>
          <w:rFonts w:hint="default" w:ascii="Times New Roman" w:hAnsi="Times New Roman" w:eastAsia="sans-serif" w:cs="Times New Roman"/>
          <w:sz w:val="24"/>
          <w:szCs w:val="24"/>
        </w:rPr>
        <w:t>o aplica dicho análisis</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ascii="Times New Roman" w:hAnsi="Times New Roman" w:cs="Times New Roman"/>
          <w:b/>
          <w:sz w:val="24"/>
          <w:szCs w:val="24"/>
          <w:lang w:val="es-PA"/>
        </w:rPr>
        <w:t xml:space="preserve"> </w:t>
      </w:r>
    </w:p>
    <w:p>
      <w:pPr>
        <w:spacing w:beforeLines="0" w:afterLines="0"/>
        <w:jc w:val="both"/>
        <w:rPr>
          <w:rFonts w:ascii="sans-serif" w:hAnsi="sans-serif" w:eastAsia="sans-serif" w:cs="sans-serif"/>
          <w:sz w:val="30"/>
          <w:szCs w:val="30"/>
        </w:rPr>
      </w:pPr>
      <w:r>
        <w:rPr>
          <w:rFonts w:hint="default" w:ascii="Times New Roman" w:hAnsi="Times New Roman" w:cs="Times New Roman"/>
          <w:b/>
          <w:sz w:val="24"/>
          <w:szCs w:val="24"/>
        </w:rPr>
        <w:t>CALIDAD DEL AIRE.</w:t>
      </w:r>
      <w:r>
        <w:rPr>
          <w:rFonts w:ascii="sans-serif" w:hAnsi="sans-serif" w:eastAsia="sans-serif" w:cs="sans-serif"/>
          <w:sz w:val="30"/>
          <w:szCs w:val="30"/>
        </w:rPr>
        <w:t xml:space="preserve"> </w:t>
      </w:r>
      <w:r>
        <w:rPr>
          <w:rFonts w:hint="default" w:ascii="Times New Roman" w:hAnsi="Times New Roman" w:eastAsia="sans-serif" w:cs="Times New Roman"/>
          <w:sz w:val="24"/>
          <w:szCs w:val="24"/>
        </w:rPr>
        <w:t xml:space="preserve">por ser una zona de transito constante </w:t>
      </w:r>
      <w:r>
        <w:rPr>
          <w:rFonts w:hint="default" w:ascii="Times New Roman" w:hAnsi="Times New Roman" w:eastAsia="sans-serif" w:cs="Times New Roman"/>
          <w:sz w:val="24"/>
          <w:szCs w:val="24"/>
          <w:lang w:val="es-PA"/>
        </w:rPr>
        <w:t>l</w:t>
      </w:r>
      <w:r>
        <w:rPr>
          <w:rFonts w:hint="default" w:ascii="Times New Roman" w:hAnsi="Times New Roman" w:eastAsia="sans-serif" w:cs="Times New Roman"/>
          <w:sz w:val="24"/>
          <w:szCs w:val="24"/>
        </w:rPr>
        <w:t xml:space="preserve">a mayor fuente de contaminación corresponde a fuentes móviles que transitan por La Avenida de </w:t>
      </w:r>
      <w:r>
        <w:rPr>
          <w:rFonts w:hint="default" w:eastAsia="sans-serif" w:cs="Times New Roman"/>
          <w:sz w:val="24"/>
          <w:szCs w:val="24"/>
          <w:lang w:val="es-PA"/>
        </w:rPr>
        <w:t xml:space="preserve">Panamericana, en el </w:t>
      </w:r>
      <w:r>
        <w:rPr>
          <w:rFonts w:hint="default" w:ascii="Times New Roman" w:hAnsi="Times New Roman" w:eastAsia="sans-serif" w:cs="Times New Roman"/>
          <w:sz w:val="24"/>
          <w:szCs w:val="24"/>
        </w:rPr>
        <w:t>corregimiento</w:t>
      </w:r>
      <w:r>
        <w:rPr>
          <w:rFonts w:hint="default" w:eastAsia="sans-serif" w:cs="Times New Roman"/>
          <w:sz w:val="24"/>
          <w:szCs w:val="24"/>
          <w:lang w:val="es-PA"/>
        </w:rPr>
        <w:t xml:space="preserve"> Bejuco, Provincia de Panamá Oeste.</w:t>
      </w:r>
    </w:p>
    <w:p>
      <w:pPr>
        <w:autoSpaceDE/>
        <w:autoSpaceDN/>
        <w:adjustRightInd/>
        <w:spacing w:beforeLines="0" w:afterLines="0"/>
        <w:contextualSpacing w:val="0"/>
        <w:jc w:val="both"/>
        <w:rPr>
          <w:rFonts w:hint="default" w:ascii="Times New Roman" w:hAnsi="Times New Roman" w:eastAsia="sans-serif" w:cs="Times New Roman"/>
          <w:sz w:val="24"/>
          <w:szCs w:val="24"/>
          <w:lang w:val="es-PA"/>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cs="Times New Roman"/>
          <w:color w:val="auto"/>
          <w:sz w:val="24"/>
          <w:szCs w:val="24"/>
          <w:lang w:val="en-US" w:eastAsia="es-PA"/>
        </w:rPr>
        <w:t xml:space="preserve">No existen árboles, solo gramíneas dentro del polígono del proyecto, no aplican </w:t>
      </w:r>
      <w:r>
        <w:rPr>
          <w:rFonts w:hint="default" w:ascii="Times New Roman" w:hAnsi="Times New Roman" w:eastAsia="sans-serif" w:cs="Times New Roman"/>
          <w:sz w:val="24"/>
          <w:szCs w:val="24"/>
        </w:rPr>
        <w:t>técnicas forestales reconocidas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por </w:t>
      </w:r>
      <w:r>
        <w:rPr>
          <w:rFonts w:hint="default" w:ascii="Times New Roman" w:hAnsi="Times New Roman" w:eastAsia="sans-serif" w:cs="Times New Roman"/>
          <w:sz w:val="24"/>
          <w:szCs w:val="24"/>
          <w:lang w:val="es-PA"/>
        </w:rPr>
        <w:t>MiAmbiente</w:t>
      </w:r>
    </w:p>
    <w:p>
      <w:pPr>
        <w:autoSpaceDE/>
        <w:autoSpaceDN/>
        <w:adjustRightInd/>
        <w:spacing w:beforeLines="0" w:afterLines="0"/>
        <w:contextualSpacing w:val="0"/>
        <w:jc w:val="both"/>
        <w:rPr>
          <w:rFonts w:hint="default" w:ascii="Times New Roman" w:hAnsi="Times New Roman" w:cs="Times New Roman"/>
          <w:b/>
          <w:color w:val="auto"/>
          <w:sz w:val="24"/>
          <w:szCs w:val="24"/>
          <w:lang w:val="es-PA"/>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 xml:space="preserve">Percepción Local sobre el Proyecto, Obra o Actividad, </w:t>
      </w:r>
      <w:r>
        <w:rPr>
          <w:rFonts w:hint="default" w:ascii="Times New Roman" w:hAnsi="Times New Roman" w:eastAsia="sans-serif" w:cs="Times New Roman"/>
          <w:sz w:val="24"/>
          <w:szCs w:val="24"/>
        </w:rPr>
        <w:t>Para obtener información sobre la percepción local sobre el proyecto, los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días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27</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julio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2019</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 las 10:15</w:t>
      </w:r>
      <w:r>
        <w:rPr>
          <w:rFonts w:hint="default" w:ascii="Times New Roman" w:hAnsi="Times New Roman" w:eastAsia="sans-serif" w:cs="Times New Roman"/>
          <w:sz w:val="24"/>
          <w:szCs w:val="24"/>
          <w:lang w:val="es-PA"/>
        </w:rPr>
        <w:t xml:space="preserve"> a</w:t>
      </w:r>
      <w:r>
        <w:rPr>
          <w:rFonts w:hint="default" w:ascii="Times New Roman" w:hAnsi="Times New Roman" w:eastAsia="sans-serif" w:cs="Times New Roman"/>
          <w:sz w:val="24"/>
          <w:szCs w:val="24"/>
        </w:rPr>
        <w:t>.m.</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aplicaron un total de 10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encuestas en el área de influencia directa 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en el sector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Bejuco.</w:t>
      </w:r>
      <w:r>
        <w:rPr>
          <w:rFonts w:hint="default" w:ascii="Times New Roman" w:hAnsi="Times New Roman" w:cs="Times New Roman"/>
          <w:b/>
          <w:color w:val="auto"/>
          <w:sz w:val="24"/>
          <w:szCs w:val="24"/>
          <w:lang w:val="es-PA"/>
        </w:rPr>
        <w:t xml:space="preserve"> </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Después de realizada la encuestas se obtuvo el siguiente resultado que él 80% de los encuestados está de acuerdo con que se realice el proyecto, </w:t>
      </w:r>
      <w:r>
        <w:rPr>
          <w:rFonts w:hint="default" w:eastAsia="sans-serif" w:cs="Times New Roman"/>
          <w:sz w:val="24"/>
          <w:szCs w:val="24"/>
          <w:lang w:val="es-PA"/>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20% no sabe</w:t>
      </w:r>
      <w:r>
        <w:rPr>
          <w:rFonts w:hint="default" w:ascii="Times New Roman" w:hAnsi="Times New Roman" w:eastAsia="sans-serif" w:cs="Times New Roman"/>
          <w:sz w:val="24"/>
          <w:szCs w:val="24"/>
          <w:lang w:val="es-PA"/>
        </w:rPr>
        <w:t>.</w:t>
      </w: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DGNTI-COPANIT 35-2000 Y DGNTI-COPANIT 39-2000.</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ilvl w:val="0"/>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eastAsia="sans-serif" w:cs="Times New Roman"/>
          <w:sz w:val="24"/>
          <w:szCs w:val="24"/>
        </w:rPr>
        <w:t>JIECHAO CHEN</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HUIXIAN CEN</w:t>
      </w:r>
      <w:r>
        <w:rPr>
          <w:rFonts w:hint="default" w:ascii="Times New Roman" w:hAnsi="Times New Roman"/>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80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y el 20% no sabe.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ascii="Times New Roman" w:hAnsi="Times New Roman" w:eastAsia="sans-serif" w:cs="Times New Roman"/>
          <w:sz w:val="24"/>
          <w:szCs w:val="24"/>
        </w:rPr>
        <w:t>CONSTRUCCIÓN DE LOCALES COMERCIALES PLANTA BAJA, VIVIENDA UNIFAMILIAR PLANTA ALTA</w:t>
      </w:r>
      <w:r>
        <w:rPr>
          <w:rFonts w:hint="default"/>
          <w:lang w:val="es-PA"/>
        </w:rPr>
        <w:t>,</w:t>
      </w:r>
      <w:r>
        <w:rPr>
          <w:b/>
          <w:color w:val="FF0000"/>
          <w:lang w:val="es-PA"/>
        </w:rPr>
        <w:t xml:space="preserve"> </w:t>
      </w:r>
      <w:r>
        <w:rPr>
          <w:color w:val="auto"/>
          <w:spacing w:val="-3"/>
          <w:lang w:val="es-PA"/>
        </w:rPr>
        <w:t>cuyo</w:t>
      </w:r>
      <w:r>
        <w:rPr>
          <w:rFonts w:hint="default"/>
          <w:color w:val="auto"/>
          <w:spacing w:val="-3"/>
          <w:lang w:val="es-PA"/>
        </w:rPr>
        <w:t>s</w:t>
      </w:r>
      <w:r>
        <w:rPr>
          <w:color w:val="auto"/>
          <w:spacing w:val="-3"/>
          <w:lang w:val="es-PA"/>
        </w:rPr>
        <w:t xml:space="preserve"> promotor</w:t>
      </w:r>
      <w:r>
        <w:rPr>
          <w:b/>
          <w:color w:val="auto"/>
          <w:lang w:val="es-PA"/>
        </w:rPr>
        <w:t xml:space="preserve">es </w:t>
      </w:r>
      <w:r>
        <w:rPr>
          <w:rFonts w:hint="default"/>
          <w:b/>
          <w:color w:val="auto"/>
          <w:lang w:val="es-PA"/>
        </w:rPr>
        <w:t xml:space="preserve">son </w:t>
      </w:r>
      <w:r>
        <w:rPr>
          <w:rFonts w:hint="default" w:ascii="Times New Roman" w:hAnsi="Times New Roman" w:eastAsia="sans-serif" w:cs="Times New Roman"/>
          <w:sz w:val="24"/>
          <w:szCs w:val="24"/>
        </w:rPr>
        <w:t>JIECHAO CHEN</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HUIXIAN CEN</w:t>
      </w:r>
      <w:r>
        <w:rPr>
          <w:rFonts w:hint="default" w:eastAsia="sans-serif" w:cs="Times New Roman"/>
          <w:sz w:val="24"/>
          <w:szCs w:val="24"/>
          <w:lang w:val="es-PA"/>
        </w:rPr>
        <w:t>.</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10B735F7">
      <w:pPr>
        <w:pStyle w:val="8"/>
      </w:pPr>
      <w:r>
        <w:t>Nombre de los consultores ambientales.</w:t>
      </w:r>
    </w:p>
  </w:comment>
  <w:comment w:id="1" w:author="Johana Valdes Rios" w:date="2018-06-21T15:22:00Z" w:initials="JVR">
    <w:p w14:paraId="66226BF9">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B735F7" w15:done="0"/>
  <w15:commentEx w15:paraId="66226B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onstantia">
    <w:panose1 w:val="02030602050306030303"/>
    <w:charset w:val="00"/>
    <w:family w:val="auto"/>
    <w:pitch w:val="default"/>
    <w:sig w:usb0="A00002EF" w:usb1="4000204B"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 xml:space="preserve"> 189</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Fonts w:hint="default"/>
        <w:i/>
        <w:sz w:val="16"/>
        <w:szCs w:val="16"/>
        <w:lang w:val="es-PA"/>
      </w:rPr>
      <w:t xml:space="preserve"> </w:t>
    </w:r>
    <w:r>
      <w:rPr>
        <w:rStyle w:val="41"/>
        <w:rFonts w:hint="default" w:ascii="Times New Roman" w:hAnsi="Times New Roman" w:cs="Times New Roman"/>
        <w:sz w:val="16"/>
        <w:szCs w:val="16"/>
      </w:rPr>
      <w:t>CONSTRUCCIÓN DE LOCALES COMERCIALES PLANTA BAJA, VIVIENDA UNIFAMILIAR PLANTA ALTA</w:t>
    </w:r>
    <w:r>
      <w:rPr>
        <w:rStyle w:val="41"/>
        <w:rFonts w:hint="default"/>
        <w:lang w:val="es-PA"/>
      </w:rPr>
      <w:t xml:space="preserve"> </w:t>
    </w:r>
  </w:p>
  <w:p>
    <w:pPr>
      <w:spacing w:after="0" w:line="240" w:lineRule="auto"/>
      <w:rPr>
        <w:rStyle w:val="41"/>
        <w:rFonts w:hint="default" w:ascii="Times New Roman" w:hAnsi="Times New Roman" w:cs="Times New Roman"/>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w:t>
    </w:r>
    <w:r>
      <w:rPr>
        <w:rStyle w:val="41"/>
        <w:rFonts w:hint="default" w:ascii="Times New Roman" w:hAnsi="Times New Roman" w:cs="Times New Roman"/>
        <w:sz w:val="16"/>
        <w:szCs w:val="16"/>
      </w:rPr>
      <w:t>JIECHAO CHEN</w:t>
    </w:r>
    <w:r>
      <w:rPr>
        <w:rStyle w:val="41"/>
        <w:rFonts w:hint="default" w:ascii="Times New Roman" w:hAnsi="Times New Roman" w:cs="Times New Roman"/>
        <w:sz w:val="16"/>
        <w:szCs w:val="16"/>
        <w:lang w:val="es-PA"/>
      </w:rPr>
      <w:t xml:space="preserve">  </w:t>
    </w:r>
    <w:r>
      <w:rPr>
        <w:rStyle w:val="41"/>
        <w:rFonts w:hint="default" w:ascii="Times New Roman" w:hAnsi="Times New Roman" w:cs="Times New Roman"/>
        <w:sz w:val="16"/>
        <w:szCs w:val="16"/>
      </w:rPr>
      <w:t>HUIXIAN CEN</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lang w:eastAsia="es-ES"/>
      </w:rPr>
      <w:drawing>
        <wp:anchor distT="0" distB="0" distL="114300" distR="114300" simplePos="0" relativeHeight="251662336" behindDoc="0" locked="0" layoutInCell="1" allowOverlap="1">
          <wp:simplePos x="0" y="0"/>
          <wp:positionH relativeFrom="column">
            <wp:posOffset>-1708150</wp:posOffset>
          </wp:positionH>
          <wp:positionV relativeFrom="paragraph">
            <wp:posOffset>163830</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072AE"/>
    <w:rsid w:val="06C176D8"/>
    <w:rsid w:val="07441D5F"/>
    <w:rsid w:val="07B77FF7"/>
    <w:rsid w:val="07CA622B"/>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ED6225C"/>
    <w:rsid w:val="0F2463CE"/>
    <w:rsid w:val="104F2D7A"/>
    <w:rsid w:val="106F6045"/>
    <w:rsid w:val="10BD32FE"/>
    <w:rsid w:val="10FD479A"/>
    <w:rsid w:val="116F6DD4"/>
    <w:rsid w:val="11C43712"/>
    <w:rsid w:val="12150454"/>
    <w:rsid w:val="121D7BFD"/>
    <w:rsid w:val="122468A1"/>
    <w:rsid w:val="13974E1B"/>
    <w:rsid w:val="13BC5E4D"/>
    <w:rsid w:val="13C800CD"/>
    <w:rsid w:val="1452033C"/>
    <w:rsid w:val="148D3D41"/>
    <w:rsid w:val="14E77A0A"/>
    <w:rsid w:val="14EC51DA"/>
    <w:rsid w:val="15285661"/>
    <w:rsid w:val="168B4BD9"/>
    <w:rsid w:val="16EE03C5"/>
    <w:rsid w:val="17792BF2"/>
    <w:rsid w:val="18C52F3C"/>
    <w:rsid w:val="18EA3EFA"/>
    <w:rsid w:val="190E28A2"/>
    <w:rsid w:val="1951400C"/>
    <w:rsid w:val="19736E7B"/>
    <w:rsid w:val="19C21FAE"/>
    <w:rsid w:val="19D378C7"/>
    <w:rsid w:val="1B152953"/>
    <w:rsid w:val="1B4A50E8"/>
    <w:rsid w:val="1B791B6A"/>
    <w:rsid w:val="1B895DB3"/>
    <w:rsid w:val="1B8C2860"/>
    <w:rsid w:val="1C464CDD"/>
    <w:rsid w:val="1D7A2D2F"/>
    <w:rsid w:val="1D7C43C9"/>
    <w:rsid w:val="1DAF03FE"/>
    <w:rsid w:val="1E40672B"/>
    <w:rsid w:val="1EF21341"/>
    <w:rsid w:val="1F7A7D7F"/>
    <w:rsid w:val="20473822"/>
    <w:rsid w:val="20CA4DB7"/>
    <w:rsid w:val="22134DBB"/>
    <w:rsid w:val="2276514E"/>
    <w:rsid w:val="24607989"/>
    <w:rsid w:val="24BE4C16"/>
    <w:rsid w:val="256B24CF"/>
    <w:rsid w:val="25C97E3B"/>
    <w:rsid w:val="261D206D"/>
    <w:rsid w:val="264B4187"/>
    <w:rsid w:val="26E04480"/>
    <w:rsid w:val="27042228"/>
    <w:rsid w:val="27D02F9E"/>
    <w:rsid w:val="280C7299"/>
    <w:rsid w:val="28CA1667"/>
    <w:rsid w:val="297C79F9"/>
    <w:rsid w:val="298C6BBC"/>
    <w:rsid w:val="2A7F60F6"/>
    <w:rsid w:val="2A8E7F0B"/>
    <w:rsid w:val="2B18594A"/>
    <w:rsid w:val="2B7070C3"/>
    <w:rsid w:val="2BF0468E"/>
    <w:rsid w:val="2C8B1521"/>
    <w:rsid w:val="2CC31249"/>
    <w:rsid w:val="2CCF5D5D"/>
    <w:rsid w:val="2D9515A6"/>
    <w:rsid w:val="2E124077"/>
    <w:rsid w:val="2EA061FA"/>
    <w:rsid w:val="2EAC48CA"/>
    <w:rsid w:val="2EF82C02"/>
    <w:rsid w:val="2F6C2FDB"/>
    <w:rsid w:val="2FC80CA8"/>
    <w:rsid w:val="301F758D"/>
    <w:rsid w:val="30AE6A7C"/>
    <w:rsid w:val="318664D2"/>
    <w:rsid w:val="327B357F"/>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076329"/>
    <w:rsid w:val="3D2025B5"/>
    <w:rsid w:val="3D47058D"/>
    <w:rsid w:val="3D836BB4"/>
    <w:rsid w:val="3DFE72E2"/>
    <w:rsid w:val="3E0B015A"/>
    <w:rsid w:val="3E1D0458"/>
    <w:rsid w:val="3E3C67E0"/>
    <w:rsid w:val="3E4A13D9"/>
    <w:rsid w:val="3EE85165"/>
    <w:rsid w:val="3EEE4924"/>
    <w:rsid w:val="3F856D2F"/>
    <w:rsid w:val="3FBB5EAB"/>
    <w:rsid w:val="40866914"/>
    <w:rsid w:val="408967D2"/>
    <w:rsid w:val="40BA368F"/>
    <w:rsid w:val="40E52420"/>
    <w:rsid w:val="41190041"/>
    <w:rsid w:val="4128380E"/>
    <w:rsid w:val="413D351D"/>
    <w:rsid w:val="417B4F02"/>
    <w:rsid w:val="42302E44"/>
    <w:rsid w:val="42670CEB"/>
    <w:rsid w:val="42887258"/>
    <w:rsid w:val="42A04E89"/>
    <w:rsid w:val="42C8050D"/>
    <w:rsid w:val="42E52D5E"/>
    <w:rsid w:val="44002F4D"/>
    <w:rsid w:val="464A2378"/>
    <w:rsid w:val="46CE0237"/>
    <w:rsid w:val="46D46CB3"/>
    <w:rsid w:val="47A84D11"/>
    <w:rsid w:val="47B3214F"/>
    <w:rsid w:val="47BE4451"/>
    <w:rsid w:val="47F767B0"/>
    <w:rsid w:val="484C7C6C"/>
    <w:rsid w:val="48F96BA9"/>
    <w:rsid w:val="48FC5F5C"/>
    <w:rsid w:val="491D7892"/>
    <w:rsid w:val="495C6911"/>
    <w:rsid w:val="499711FF"/>
    <w:rsid w:val="49CF2574"/>
    <w:rsid w:val="49F60A7D"/>
    <w:rsid w:val="4A2A2484"/>
    <w:rsid w:val="4A7D314B"/>
    <w:rsid w:val="4BC86614"/>
    <w:rsid w:val="4BE76146"/>
    <w:rsid w:val="4C0C2152"/>
    <w:rsid w:val="4CB80F1E"/>
    <w:rsid w:val="4D176055"/>
    <w:rsid w:val="4E651D04"/>
    <w:rsid w:val="4EA01C35"/>
    <w:rsid w:val="4EC91982"/>
    <w:rsid w:val="4F0A14AA"/>
    <w:rsid w:val="4F9822B5"/>
    <w:rsid w:val="4FAE4E4D"/>
    <w:rsid w:val="4FBB7F26"/>
    <w:rsid w:val="5019706B"/>
    <w:rsid w:val="505D7508"/>
    <w:rsid w:val="50EB52F5"/>
    <w:rsid w:val="51901498"/>
    <w:rsid w:val="51E33B12"/>
    <w:rsid w:val="52B16AA0"/>
    <w:rsid w:val="53AF430B"/>
    <w:rsid w:val="53E80568"/>
    <w:rsid w:val="53EB1A23"/>
    <w:rsid w:val="55231822"/>
    <w:rsid w:val="554F1A18"/>
    <w:rsid w:val="56345CBD"/>
    <w:rsid w:val="566843BE"/>
    <w:rsid w:val="57A12C01"/>
    <w:rsid w:val="57BF5FEC"/>
    <w:rsid w:val="57E53EC3"/>
    <w:rsid w:val="58F46581"/>
    <w:rsid w:val="592B53C8"/>
    <w:rsid w:val="5A8343CE"/>
    <w:rsid w:val="5AD26430"/>
    <w:rsid w:val="5AF46B99"/>
    <w:rsid w:val="5BAD72BC"/>
    <w:rsid w:val="5BB271F5"/>
    <w:rsid w:val="5D671BFC"/>
    <w:rsid w:val="5D8C27D7"/>
    <w:rsid w:val="5D8F11DA"/>
    <w:rsid w:val="5DC95C2C"/>
    <w:rsid w:val="5DFD6A97"/>
    <w:rsid w:val="5E246802"/>
    <w:rsid w:val="5EC71B9C"/>
    <w:rsid w:val="5EF9107A"/>
    <w:rsid w:val="5EFC44DB"/>
    <w:rsid w:val="5F75132E"/>
    <w:rsid w:val="5FE96AC3"/>
    <w:rsid w:val="60380736"/>
    <w:rsid w:val="60CB4C83"/>
    <w:rsid w:val="61722E19"/>
    <w:rsid w:val="61B02CA5"/>
    <w:rsid w:val="61DD4534"/>
    <w:rsid w:val="624463E0"/>
    <w:rsid w:val="629E7DB8"/>
    <w:rsid w:val="62CE087F"/>
    <w:rsid w:val="62D8633A"/>
    <w:rsid w:val="62DA77AB"/>
    <w:rsid w:val="62FA09AF"/>
    <w:rsid w:val="62FE29DF"/>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D375AFE"/>
    <w:rsid w:val="6D776BC0"/>
    <w:rsid w:val="6E0D3269"/>
    <w:rsid w:val="6E157733"/>
    <w:rsid w:val="6E163FA7"/>
    <w:rsid w:val="6F0A204A"/>
    <w:rsid w:val="70004E5C"/>
    <w:rsid w:val="71012CF6"/>
    <w:rsid w:val="716E63B4"/>
    <w:rsid w:val="718C5A00"/>
    <w:rsid w:val="72002233"/>
    <w:rsid w:val="72271940"/>
    <w:rsid w:val="723E5395"/>
    <w:rsid w:val="725272A4"/>
    <w:rsid w:val="730476D6"/>
    <w:rsid w:val="7334239C"/>
    <w:rsid w:val="73C70763"/>
    <w:rsid w:val="74C23DDA"/>
    <w:rsid w:val="74E20F14"/>
    <w:rsid w:val="75446E20"/>
    <w:rsid w:val="768801BE"/>
    <w:rsid w:val="77252F44"/>
    <w:rsid w:val="778B413D"/>
    <w:rsid w:val="78133508"/>
    <w:rsid w:val="78B00646"/>
    <w:rsid w:val="79033F80"/>
    <w:rsid w:val="79097370"/>
    <w:rsid w:val="79981DCD"/>
    <w:rsid w:val="79F11BEE"/>
    <w:rsid w:val="7A2C01E3"/>
    <w:rsid w:val="7A3F5560"/>
    <w:rsid w:val="7A5C4DB1"/>
    <w:rsid w:val="7AA641CF"/>
    <w:rsid w:val="7AC2463C"/>
    <w:rsid w:val="7B2D0679"/>
    <w:rsid w:val="7B4011B3"/>
    <w:rsid w:val="7B4C7B67"/>
    <w:rsid w:val="7BBD5D38"/>
    <w:rsid w:val="7BF26B67"/>
    <w:rsid w:val="7C3820DB"/>
    <w:rsid w:val="7C41194F"/>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97</TotalTime>
  <ScaleCrop>false</ScaleCrop>
  <LinksUpToDate>false</LinksUpToDate>
  <CharactersWithSpaces>16211</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2019-11-14T18:54:56Z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