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184 </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30 </w:t>
            </w:r>
            <w:r>
              <w:rPr>
                <w:rFonts w:eastAsia="MS Mincho"/>
                <w:color w:val="auto"/>
                <w:sz w:val="24"/>
                <w:szCs w:val="24"/>
                <w:lang w:val="es-PA"/>
              </w:rPr>
              <w:t>DE</w:t>
            </w:r>
            <w:r>
              <w:rPr>
                <w:rFonts w:hint="default" w:eastAsia="MS Mincho"/>
                <w:color w:val="auto"/>
                <w:sz w:val="24"/>
                <w:szCs w:val="24"/>
                <w:lang w:val="es-PA"/>
              </w:rPr>
              <w:t xml:space="preserve"> OCTUBRE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CONSTRUCCION DE LOCAL COMERCIAL Y OFICINAS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rPr>
              <w:t>ZHIHUI WU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ZHIHUI WU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 xml:space="preserve"> 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 xml:space="preserve">.  </w:t>
            </w:r>
            <w:r>
              <w:rPr>
                <w:rFonts w:hint="default" w:ascii="Times New Roman" w:hAnsi="Times New Roman" w:cs="Times New Roman"/>
                <w:b w:val="0"/>
                <w:bCs/>
                <w:sz w:val="24"/>
                <w:szCs w:val="24"/>
                <w:lang w:val="es-PA"/>
              </w:rPr>
              <w:t xml:space="preserve">   IRC-008-11</w:t>
            </w:r>
          </w:p>
          <w:p>
            <w:pPr>
              <w:spacing w:before="120" w:after="120"/>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 xml:space="preserve">DIAZ AVILA,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IRC-046-02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LA CHORRERA, ARRAIJAN, CORREGIMIENTO DE BARRIO BARRIO COLON.</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09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 xml:space="preserve"> la</w:t>
      </w:r>
      <w:r>
        <w:rPr>
          <w:color w:val="auto"/>
          <w:spacing w:val="-3"/>
          <w:lang w:val="es-PA"/>
        </w:rPr>
        <w:t xml:space="preserve"> promotor </w:t>
      </w:r>
      <w:r>
        <w:rPr>
          <w:rFonts w:hint="default" w:eastAsia="Calibri"/>
          <w:b w:val="0"/>
          <w:bCs w:val="0"/>
          <w:color w:val="auto"/>
          <w:lang w:val="es-PA"/>
        </w:rPr>
        <w:t xml:space="preserve">y representante legal </w:t>
      </w:r>
      <w:r>
        <w:rPr>
          <w:rFonts w:hint="default" w:ascii="Times New Roman" w:hAnsi="Times New Roman" w:eastAsia="SimSun" w:cs="Times New Roman"/>
          <w:sz w:val="24"/>
          <w:szCs w:val="24"/>
        </w:rPr>
        <w:t>ZHIHUI WU</w:t>
      </w:r>
      <w:r>
        <w:rPr>
          <w:rFonts w:eastAsia="Calibri"/>
          <w:b w:val="0"/>
          <w:bCs w:val="0"/>
          <w:color w:val="auto"/>
          <w:lang w:val="es-PA"/>
        </w:rPr>
        <w:t xml:space="preserve"> </w:t>
      </w:r>
      <w:r>
        <w:rPr>
          <w:rFonts w:hint="default" w:eastAsia="Calibri"/>
          <w:b w:val="0"/>
          <w:bCs w:val="0"/>
          <w:color w:val="auto"/>
          <w:lang w:val="es-PA"/>
        </w:rPr>
        <w:t>de</w:t>
      </w:r>
      <w:r>
        <w:rPr>
          <w:rFonts w:hint="default" w:eastAsia="sans-serif" w:cs="Times New Roman"/>
          <w:sz w:val="24"/>
          <w:szCs w:val="24"/>
          <w:lang w:val="es-PA"/>
        </w:rPr>
        <w:t xml:space="preserve"> de nacionalidad china c</w:t>
      </w:r>
      <w:r>
        <w:rPr>
          <w:rFonts w:hint="default" w:eastAsia="Calibri"/>
          <w:b w:val="0"/>
          <w:bCs w:val="0"/>
          <w:color w:val="auto"/>
          <w:lang w:val="es-PA"/>
        </w:rPr>
        <w:t xml:space="preserve">on cédula </w:t>
      </w:r>
      <w:r>
        <w:rPr>
          <w:b/>
          <w:highlight w:val="none"/>
        </w:rPr>
        <w:t>N°</w:t>
      </w:r>
      <w:r>
        <w:rPr>
          <w:rFonts w:hint="default"/>
          <w:b/>
          <w:highlight w:val="none"/>
          <w:lang w:val="es-PA"/>
        </w:rPr>
        <w:t xml:space="preserve"> </w:t>
      </w:r>
      <w:r>
        <w:rPr>
          <w:rFonts w:hint="default" w:ascii="Times New Roman" w:hAnsi="Times New Roman" w:eastAsia="SimSun" w:cs="Times New Roman"/>
          <w:sz w:val="24"/>
          <w:szCs w:val="24"/>
        </w:rPr>
        <w:t>E-8-90883</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imSun" w:cs="Times New Roman"/>
          <w:sz w:val="24"/>
          <w:szCs w:val="24"/>
        </w:rPr>
        <w:t>CONSTRUCCION DE LOCAL COMERCIAL Y OFICINAS</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Barrio Colon,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ascii="Times New Roman" w:hAnsi="Times New Roman" w:eastAsia="SimSun" w:cs="Times New Roman"/>
          <w:sz w:val="24"/>
          <w:szCs w:val="24"/>
        </w:rPr>
        <w:t>RICARDO JOS</w:t>
      </w:r>
      <w:r>
        <w:rPr>
          <w:rFonts w:hint="default" w:ascii="Times New Roman" w:hAnsi="Times New Roman" w:eastAsia="SimSun" w:cs="Times New Roman"/>
          <w:sz w:val="24"/>
          <w:szCs w:val="24"/>
          <w:lang w:val="es-PA"/>
        </w:rPr>
        <w:t>E</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MARTINEZ M</w:t>
      </w:r>
      <w:r>
        <w:rPr>
          <w:rFonts w:hint="default" w:ascii="Times New Roman" w:hAnsi="Times New Roman" w:eastAsia="SimSun" w:cs="Times New Roman"/>
          <w:sz w:val="24"/>
          <w:szCs w:val="24"/>
          <w:lang w:val="es-PA"/>
        </w:rPr>
        <w:t xml:space="preserve"> </w:t>
      </w:r>
      <w:r>
        <w:rPr>
          <w:rFonts w:hint="default"/>
          <w:b w:val="0"/>
          <w:bCs/>
          <w:sz w:val="24"/>
          <w:szCs w:val="24"/>
          <w:lang w:val="es-PA"/>
        </w:rPr>
        <w:t xml:space="preserve">y </w:t>
      </w:r>
      <w:r>
        <w:rPr>
          <w:rFonts w:hint="default" w:ascii="Times New Roman" w:hAnsi="Times New Roman" w:eastAsia="SimSun" w:cs="Times New Roman"/>
          <w:sz w:val="24"/>
          <w:szCs w:val="24"/>
        </w:rPr>
        <w:t>JULIO ALFONSO</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DIAZ AVILA</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imSun" w:cs="Times New Roman"/>
          <w:sz w:val="24"/>
          <w:szCs w:val="24"/>
        </w:rPr>
        <w:t>IRC-023-04</w:t>
      </w:r>
      <w:r>
        <w:rPr>
          <w:rFonts w:hint="default"/>
          <w:b w:val="0"/>
          <w:bCs/>
          <w:sz w:val="24"/>
          <w:szCs w:val="24"/>
          <w:lang w:val="es-PA"/>
        </w:rPr>
        <w:t xml:space="preserve"> e </w:t>
      </w:r>
      <w:r>
        <w:rPr>
          <w:rFonts w:hint="default" w:ascii="Times New Roman" w:hAnsi="Times New Roman" w:eastAsia="SimSun" w:cs="Times New Roman"/>
          <w:sz w:val="24"/>
          <w:szCs w:val="24"/>
        </w:rPr>
        <w:t>IRC-046-02</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111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29</w:t>
      </w:r>
      <w:r>
        <w:rPr>
          <w:color w:val="auto"/>
          <w:spacing w:val="-3"/>
          <w:lang w:val="es-PA"/>
        </w:rPr>
        <w:t xml:space="preserve"> </w:t>
      </w:r>
      <w:r>
        <w:rPr>
          <w:color w:val="auto"/>
          <w:spacing w:val="-3"/>
        </w:rPr>
        <w:t xml:space="preserve">de </w:t>
      </w:r>
      <w:r>
        <w:rPr>
          <w:rFonts w:hint="default"/>
          <w:color w:val="auto"/>
          <w:spacing w:val="-3"/>
          <w:lang w:val="es-PA"/>
        </w:rPr>
        <w:t xml:space="preserve">octubre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bidi w:val="0"/>
        <w:jc w:val="both"/>
        <w:rPr>
          <w:rFonts w:hint="default"/>
          <w:color w:val="FF0000"/>
          <w:lang w:val="es-PA"/>
        </w:rPr>
      </w:pPr>
      <w:r>
        <w:rPr>
          <w:rFonts w:hint="default"/>
          <w:b/>
          <w:bCs/>
          <w:lang w:val="es-PA"/>
        </w:rPr>
        <w:t>CONSTRUCCIÓN DE LOCAL COMERCIAL Y OFICINAS</w:t>
      </w:r>
      <w:r>
        <w:rPr>
          <w:rFonts w:hint="default"/>
          <w:lang w:val="es-PA"/>
        </w:rPr>
        <w:t xml:space="preserve">, para el mismo el promotor cuenta con un polígono con una superficie total de 624 metros2 + .98 cm, el mismo corresponde a la finca  N° 64370, con el rollo N° 1, asiento N° 1,   propiedad de ZHIHUI WU, se ubica en avenida las América La Chorrera del corregimiento de Barrio Colon , del distrito de la chorrera , donde se llevara a cabo el proyecto en mención, para dicha construcción la misma se llevara a cabo sobre dos plantas ,  la primera planta se identifica como local comercial según diseño estaría compuesta de : tiene una dimensión de </w:t>
      </w:r>
      <w:bookmarkStart w:id="0" w:name="_GoBack"/>
      <w:bookmarkEnd w:id="0"/>
      <w:r>
        <w:rPr>
          <w:rFonts w:hint="default"/>
          <w:lang w:val="es-PA"/>
        </w:rPr>
        <w:t xml:space="preserve">20 m x 6.45 m, con alrededor de 9 estacionamiento, servicio sanitarios , el nivel de la planta alta </w:t>
      </w:r>
      <w:r>
        <w:rPr>
          <w:rFonts w:hint="default" w:ascii="Times New Roman" w:hAnsi="Times New Roman" w:cs="Times New Roman"/>
          <w:b w:val="0"/>
          <w:bCs w:val="0"/>
          <w:sz w:val="24"/>
          <w:szCs w:val="24"/>
          <w:lang w:val="es-PA"/>
        </w:rPr>
        <w:t xml:space="preserve">está compuesto del diseño de 16 oficinas con una </w:t>
      </w:r>
      <w:r>
        <w:rPr>
          <w:rFonts w:hint="default" w:ascii="Times New Roman" w:hAnsi="Times New Roman" w:cs="Times New Roman"/>
          <w:b w:val="0"/>
          <w:bCs w:val="0"/>
          <w:color w:val="auto"/>
          <w:sz w:val="24"/>
          <w:szCs w:val="24"/>
          <w:lang w:val="es-PA"/>
        </w:rPr>
        <w:t xml:space="preserve">dimensión de 5.25 m x 5.16 m, cada uno con servicio sanitario, pasillo, escalera y demás componente de dicha construcción, de la </w:t>
      </w:r>
      <w:r>
        <w:rPr>
          <w:rFonts w:hint="default"/>
          <w:color w:val="auto"/>
        </w:rPr>
        <w:t xml:space="preserve"> sección de la propiedad de la provincia de </w:t>
      </w:r>
      <w:r>
        <w:rPr>
          <w:rFonts w:hint="default"/>
          <w:color w:val="auto"/>
          <w:lang w:val="es-PA"/>
        </w:rPr>
        <w:t>P</w:t>
      </w:r>
      <w:r>
        <w:rPr>
          <w:rFonts w:hint="default"/>
          <w:color w:val="auto"/>
        </w:rPr>
        <w:t>anamá de registro público</w:t>
      </w:r>
      <w:r>
        <w:rPr>
          <w:rFonts w:hint="default"/>
          <w:color w:val="auto"/>
          <w:lang w:val="es-PA"/>
        </w:rPr>
        <w:t>.</w:t>
      </w:r>
      <w:r>
        <w:rPr>
          <w:rFonts w:hint="default"/>
          <w:color w:val="FF0000"/>
          <w:lang w:val="es-PA"/>
        </w:rPr>
        <w:t xml:space="preserve"> </w:t>
      </w:r>
    </w:p>
    <w:p>
      <w:pPr>
        <w:tabs>
          <w:tab w:val="left" w:pos="0"/>
          <w:tab w:val="left" w:pos="1440"/>
        </w:tabs>
        <w:suppressAutoHyphens/>
        <w:jc w:val="both"/>
        <w:rPr>
          <w:rFonts w:hint="default" w:ascii="Times New Roman" w:hAnsi="Times New Roman" w:eastAsia="sans-serif" w:cs="Times New Roman"/>
          <w:sz w:val="24"/>
          <w:szCs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hint="default" w:ascii="Times New Roman" w:hAnsi="Times New Roman" w:eastAsia="Calibri" w:cs="Times New Roman"/>
          <w:color w:val="auto"/>
          <w:lang w:val="es-PA"/>
        </w:rPr>
        <w:t> </w:t>
      </w:r>
      <w:r>
        <w:rPr>
          <w:rFonts w:hint="default" w:ascii="Times New Roman" w:hAnsi="Times New Roman" w:eastAsia="SimSun" w:cs="Times New Roman"/>
          <w:kern w:val="0"/>
          <w:sz w:val="24"/>
          <w:szCs w:val="24"/>
          <w:lang w:val="en-US" w:eastAsia="zh-CN" w:bidi="ar"/>
        </w:rPr>
        <w:t>634486</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E </w:t>
      </w:r>
      <w:r>
        <w:rPr>
          <w:rFonts w:hint="default" w:ascii="Times New Roman" w:hAnsi="Times New Roman" w:eastAsia="SimSun" w:cs="Times New Roman"/>
          <w:kern w:val="0"/>
          <w:sz w:val="24"/>
          <w:szCs w:val="24"/>
          <w:lang w:val="en-US" w:eastAsia="zh-CN" w:bidi="ar"/>
        </w:rPr>
        <w:t>982194</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N; </w:t>
      </w:r>
      <w:r>
        <w:rPr>
          <w:rFonts w:hint="default" w:ascii="Times New Roman" w:hAnsi="Times New Roman" w:eastAsia="Calibri" w:cs="Times New Roman"/>
          <w:b/>
          <w:color w:val="auto"/>
          <w:lang w:val="es-PA"/>
        </w:rPr>
        <w:t xml:space="preserve">Punto 2) </w:t>
      </w:r>
      <w:r>
        <w:rPr>
          <w:rFonts w:hint="default" w:ascii="Times New Roman" w:hAnsi="Times New Roman" w:eastAsia="SimSun" w:cs="Times New Roman"/>
          <w:kern w:val="0"/>
          <w:sz w:val="24"/>
          <w:szCs w:val="24"/>
          <w:lang w:val="en-US" w:eastAsia="zh-CN" w:bidi="ar"/>
        </w:rPr>
        <w:t>634479</w:t>
      </w:r>
      <w:r>
        <w:rPr>
          <w:rFonts w:hint="default" w:ascii="Times New Roman" w:hAnsi="Times New Roman" w:cs="Times New Roman"/>
          <w:color w:val="auto"/>
          <w:sz w:val="23"/>
          <w:lang w:val="es-PA"/>
        </w:rPr>
        <w:t xml:space="preserve"> E </w:t>
      </w:r>
      <w:r>
        <w:rPr>
          <w:rFonts w:hint="default" w:ascii="Times New Roman" w:hAnsi="Times New Roman" w:eastAsia="SimSun" w:cs="Times New Roman"/>
          <w:kern w:val="0"/>
          <w:sz w:val="24"/>
          <w:szCs w:val="24"/>
          <w:lang w:val="en-US" w:eastAsia="zh-CN" w:bidi="ar"/>
        </w:rPr>
        <w:t>982187</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N; </w:t>
      </w:r>
      <w:r>
        <w:rPr>
          <w:rFonts w:hint="default" w:ascii="Times New Roman" w:hAnsi="Times New Roman" w:cs="Times New Roman"/>
          <w:b/>
          <w:color w:val="auto"/>
        </w:rPr>
        <w:t>Punto</w:t>
      </w:r>
      <w:r>
        <w:rPr>
          <w:rFonts w:hint="default" w:ascii="Times New Roman" w:hAnsi="Times New Roman" w:cs="Times New Roman"/>
          <w:color w:val="auto"/>
        </w:rPr>
        <w:t xml:space="preserve"> </w:t>
      </w:r>
      <w:r>
        <w:rPr>
          <w:rFonts w:hint="default" w:ascii="Times New Roman" w:hAnsi="Times New Roman" w:cs="Times New Roman"/>
          <w:b/>
          <w:color w:val="auto"/>
        </w:rPr>
        <w:t>3</w:t>
      </w:r>
      <w:r>
        <w:rPr>
          <w:rFonts w:hint="default" w:ascii="Times New Roman" w:hAnsi="Times New Roman" w:eastAsia="Calibri" w:cs="Times New Roman"/>
          <w:b/>
          <w:color w:val="auto"/>
          <w:lang w:val="es-PA"/>
        </w:rPr>
        <w:t xml:space="preserve">) </w:t>
      </w:r>
      <w:r>
        <w:rPr>
          <w:rFonts w:hint="default" w:ascii="Times New Roman" w:hAnsi="Times New Roman" w:eastAsia="SimSun" w:cs="Times New Roman"/>
          <w:kern w:val="0"/>
          <w:sz w:val="24"/>
          <w:szCs w:val="24"/>
          <w:lang w:val="en-US" w:eastAsia="zh-CN" w:bidi="ar"/>
        </w:rPr>
        <w:t>634506</w:t>
      </w:r>
      <w:r>
        <w:rPr>
          <w:rFonts w:hint="default" w:ascii="Times New Roman" w:hAnsi="Times New Roman" w:cs="Times New Roman"/>
          <w:color w:val="auto"/>
          <w:sz w:val="23"/>
          <w:lang w:val="es-PA"/>
        </w:rPr>
        <w:t xml:space="preserve"> E</w:t>
      </w:r>
      <w:r>
        <w:rPr>
          <w:rFonts w:hint="default" w:ascii="Times New Roman" w:hAnsi="Times New Roman" w:cs="Times New Roman"/>
          <w:color w:val="auto"/>
          <w:sz w:val="23"/>
        </w:rPr>
        <w:t xml:space="preserve"> </w:t>
      </w:r>
      <w:r>
        <w:rPr>
          <w:rFonts w:hint="default" w:ascii="Times New Roman" w:hAnsi="Times New Roman" w:eastAsia="SimSun" w:cs="Times New Roman"/>
          <w:kern w:val="0"/>
          <w:sz w:val="24"/>
          <w:szCs w:val="24"/>
          <w:lang w:val="en-US" w:eastAsia="zh-CN" w:bidi="ar"/>
        </w:rPr>
        <w:t>982160</w:t>
      </w:r>
      <w:r>
        <w:rPr>
          <w:rFonts w:hint="default" w:ascii="Times New Roman" w:hAnsi="Times New Roman" w:cs="Times New Roman"/>
          <w:color w:val="auto"/>
          <w:sz w:val="23"/>
          <w:lang w:val="es-PA"/>
        </w:rPr>
        <w:t xml:space="preserve"> N;</w:t>
      </w:r>
      <w:r>
        <w:rPr>
          <w:rFonts w:hint="default" w:ascii="Times New Roman" w:hAnsi="Times New Roman" w:cs="Times New Roman"/>
          <w:color w:val="auto"/>
          <w:sz w:val="23"/>
        </w:rPr>
        <w:t xml:space="preserve"> </w:t>
      </w:r>
      <w:r>
        <w:rPr>
          <w:rFonts w:hint="default" w:ascii="Times New Roman" w:hAnsi="Times New Roman" w:eastAsia="Calibri" w:cs="Times New Roman"/>
          <w:b/>
          <w:color w:val="auto"/>
          <w:lang w:val="es-PA"/>
        </w:rPr>
        <w:t>Punto</w:t>
      </w:r>
      <w:r>
        <w:rPr>
          <w:rFonts w:hint="default" w:ascii="Times New Roman" w:hAnsi="Times New Roman" w:eastAsia="Calibri" w:cs="Times New Roman"/>
          <w:color w:val="auto"/>
          <w:lang w:val="es-PA"/>
        </w:rPr>
        <w:t xml:space="preserve"> </w:t>
      </w:r>
      <w:r>
        <w:rPr>
          <w:rFonts w:hint="default" w:ascii="Times New Roman" w:hAnsi="Times New Roman" w:eastAsia="Calibri" w:cs="Times New Roman"/>
          <w:b/>
          <w:color w:val="auto"/>
          <w:lang w:val="es-PA"/>
        </w:rPr>
        <w:t>4)</w:t>
      </w:r>
      <w:r>
        <w:rPr>
          <w:rFonts w:hint="default" w:ascii="Times New Roman" w:hAnsi="Times New Roman" w:eastAsia="Calibri" w:cs="Times New Roman"/>
          <w:color w:val="auto"/>
          <w:lang w:val="es-PA"/>
        </w:rPr>
        <w:t> </w:t>
      </w:r>
      <w:r>
        <w:rPr>
          <w:rFonts w:hint="default" w:ascii="Times New Roman" w:hAnsi="Times New Roman" w:eastAsia="SimSun" w:cs="Times New Roman"/>
          <w:kern w:val="0"/>
          <w:sz w:val="24"/>
          <w:szCs w:val="24"/>
          <w:lang w:val="en-US" w:eastAsia="zh-CN" w:bidi="ar"/>
        </w:rPr>
        <w:t>634519</w:t>
      </w:r>
      <w:r>
        <w:rPr>
          <w:rFonts w:hint="default" w:ascii="Times New Roman" w:hAnsi="Times New Roman" w:cs="Times New Roman"/>
          <w:color w:val="auto"/>
          <w:sz w:val="23"/>
        </w:rPr>
        <w:t xml:space="preserve"> </w:t>
      </w:r>
      <w:r>
        <w:rPr>
          <w:rFonts w:hint="default" w:ascii="Times New Roman" w:hAnsi="Times New Roman" w:cs="Times New Roman"/>
          <w:color w:val="auto"/>
          <w:sz w:val="23"/>
          <w:lang w:val="es-PA"/>
        </w:rPr>
        <w:t xml:space="preserve">E </w:t>
      </w:r>
      <w:r>
        <w:rPr>
          <w:rFonts w:hint="default" w:ascii="Times New Roman" w:hAnsi="Times New Roman" w:eastAsia="SimSun" w:cs="Times New Roman"/>
          <w:kern w:val="0"/>
          <w:sz w:val="24"/>
          <w:szCs w:val="24"/>
          <w:lang w:val="en-US" w:eastAsia="zh-CN" w:bidi="ar"/>
        </w:rPr>
        <w:t>982172</w:t>
      </w:r>
      <w:r>
        <w:rPr>
          <w:rFonts w:hint="default" w:ascii="Times New Roman" w:hAnsi="Times New Roman" w:cs="Times New Roman"/>
          <w:color w:val="auto"/>
          <w:sz w:val="23"/>
          <w:lang w:val="es-PA"/>
        </w:rPr>
        <w:t xml:space="preserve"> N; </w:t>
      </w:r>
      <w:r>
        <w:rPr>
          <w:rFonts w:hint="default" w:ascii="Times New Roman" w:hAnsi="Times New Roman" w:eastAsia="Cambria" w:cs="Times New Roman"/>
          <w:color w:val="auto"/>
          <w:sz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ascii="Times New Roman" w:hAnsi="Times New Roman" w:eastAsia="sans-serif" w:cs="Times New Roman"/>
          <w:sz w:val="24"/>
          <w:szCs w:val="24"/>
          <w:lang w:val="es-PA"/>
        </w:rPr>
        <w:t>Barrio Colón, d</w:t>
      </w:r>
      <w:r>
        <w:rPr>
          <w:rFonts w:hint="default" w:ascii="Times New Roman" w:hAnsi="Times New Roman" w:cs="Times New Roman"/>
          <w:color w:val="000000"/>
          <w:lang w:val="es-PA"/>
        </w:rPr>
        <w:t>istrito de Arraiján</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 xml:space="preserve">. </w:t>
      </w: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eastAsia="sans-serif" w:cs="Times New Roman"/>
          <w:sz w:val="24"/>
          <w:szCs w:val="24"/>
        </w:rPr>
        <w:t>Suelos Pardo Amarillento Oscuro, arcillosos, estructura del bloque Subangular finos y medianos, con estructura granular mediana, ligeramente pegajosa, no plástico en mojado. Tiene un límite gradual.</w:t>
      </w:r>
    </w:p>
    <w:p>
      <w:pPr>
        <w:spacing w:beforeLines="0" w:afterLines="0" w:line="240" w:lineRule="auto"/>
        <w:jc w:val="both"/>
        <w:rPr>
          <w:rFonts w:hint="default" w:ascii="Times New Roman" w:hAnsi="Times New Roman" w:eastAsia="sans-serif" w:cs="Times New Roman"/>
          <w:b w:val="0"/>
          <w:color w:val="auto"/>
          <w:sz w:val="24"/>
          <w:szCs w:val="24"/>
          <w:lang w:val="en-US" w:eastAsia="es-PA"/>
        </w:rPr>
      </w:pPr>
      <w:r>
        <w:rPr>
          <w:rFonts w:hint="default" w:ascii="Times New Roman" w:hAnsi="Times New Roman" w:eastAsia="sans-serif" w:cs="Times New Roman"/>
          <w:sz w:val="24"/>
          <w:szCs w:val="24"/>
        </w:rPr>
        <w:t>En cuanto a</w:t>
      </w:r>
      <w:r>
        <w:rPr>
          <w:rFonts w:hint="default" w:eastAsia="sans-serif" w:cs="Times New Roman"/>
          <w:sz w:val="24"/>
          <w:szCs w:val="24"/>
          <w:lang w:val="es-PA"/>
        </w:rPr>
        <w:t>l</w:t>
      </w:r>
      <w:r>
        <w:rPr>
          <w:rFonts w:hint="default" w:ascii="Times New Roman" w:hAnsi="Times New Roman" w:eastAsia="sans-serif" w:cs="Times New Roman"/>
          <w:sz w:val="24"/>
          <w:szCs w:val="24"/>
        </w:rPr>
        <w:t xml:space="preserve"> de uso de suelo en base a la norma de MIVIOT para la cuidad de La Chorrera, el uso de suelo C-2</w:t>
      </w:r>
      <w:r>
        <w:rPr>
          <w:rFonts w:hint="default" w:eastAsia="sans-serif" w:cs="Times New Roman"/>
          <w:sz w:val="24"/>
          <w:szCs w:val="24"/>
          <w:lang w:val="es-PA"/>
        </w:rPr>
        <w:t>, para</w:t>
      </w:r>
      <w:r>
        <w:rPr>
          <w:rFonts w:hint="default" w:ascii="Times New Roman" w:hAnsi="Times New Roman" w:eastAsia="sans-serif" w:cs="Times New Roman"/>
          <w:sz w:val="24"/>
          <w:szCs w:val="24"/>
        </w:rPr>
        <w:t xml:space="preserve"> uso comercial, </w:t>
      </w:r>
      <w:r>
        <w:rPr>
          <w:rFonts w:hint="default" w:eastAsia="sans-serif" w:cs="Times New Roman"/>
          <w:sz w:val="24"/>
          <w:szCs w:val="24"/>
          <w:lang w:val="es-PA"/>
        </w:rPr>
        <w:t xml:space="preserve"> de </w:t>
      </w:r>
      <w:r>
        <w:rPr>
          <w:rFonts w:hint="default" w:ascii="Times New Roman" w:hAnsi="Times New Roman" w:eastAsia="sans-serif" w:cs="Times New Roman"/>
          <w:sz w:val="24"/>
          <w:szCs w:val="24"/>
        </w:rPr>
        <w:t>densidad media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y alta, la cual </w:t>
      </w:r>
      <w:r>
        <w:rPr>
          <w:rFonts w:hint="default" w:eastAsia="sans-serif" w:cs="Times New Roman"/>
          <w:sz w:val="24"/>
          <w:szCs w:val="24"/>
          <w:lang w:val="es-PA"/>
        </w:rPr>
        <w:t xml:space="preserve">se </w:t>
      </w:r>
      <w:r>
        <w:rPr>
          <w:rFonts w:hint="default" w:ascii="Times New Roman" w:hAnsi="Times New Roman" w:eastAsia="sans-serif" w:cs="Times New Roman"/>
          <w:sz w:val="24"/>
          <w:szCs w:val="24"/>
        </w:rPr>
        <w:t>describ</w:t>
      </w:r>
      <w:r>
        <w:rPr>
          <w:rFonts w:hint="default" w:eastAsia="sans-serif" w:cs="Times New Roman"/>
          <w:sz w:val="24"/>
          <w:szCs w:val="24"/>
          <w:lang w:val="es-PA"/>
        </w:rPr>
        <w:t>e</w:t>
      </w:r>
      <w:r>
        <w:rPr>
          <w:rFonts w:hint="default" w:ascii="Times New Roman" w:hAnsi="Times New Roman" w:eastAsia="sans-serif" w:cs="Times New Roman"/>
          <w:sz w:val="24"/>
          <w:szCs w:val="24"/>
        </w:rPr>
        <w:t xml:space="preserve"> en dicha norma para el área de Chorrera.</w:t>
      </w:r>
      <w:r>
        <w:rPr>
          <w:rFonts w:hint="default" w:ascii="Times New Roman" w:hAnsi="Times New Roman" w:cs="Times New Roman"/>
          <w:b/>
          <w:color w:val="auto"/>
          <w:sz w:val="24"/>
          <w:szCs w:val="24"/>
          <w:lang w:val="en-US" w:eastAsia="es-PA"/>
        </w:rPr>
        <w:t xml:space="preserve">  </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w:t>
      </w:r>
      <w:r>
        <w:rPr>
          <w:rFonts w:hint="default" w:eastAsia="sans-serif" w:cs="Times New Roman"/>
          <w:sz w:val="24"/>
          <w:szCs w:val="24"/>
          <w:lang w:val="es-PA"/>
        </w:rPr>
        <w:t>.</w:t>
      </w:r>
      <w:r>
        <w:rPr>
          <w:rFonts w:hint="default" w:ascii="Times New Roman" w:hAnsi="Times New Roman" w:eastAsia="sans-serif"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El área </w:t>
      </w:r>
      <w:r>
        <w:rPr>
          <w:rFonts w:hint="default" w:eastAsia="sans-serif" w:cs="Times New Roman"/>
          <w:sz w:val="24"/>
          <w:szCs w:val="24"/>
          <w:lang w:val="es-PA"/>
        </w:rPr>
        <w:t xml:space="preserve">no existen cuerpos de agua.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cs="Times New Roman"/>
          <w:b/>
          <w:sz w:val="24"/>
          <w:szCs w:val="24"/>
          <w:lang w:val="es-PA"/>
        </w:rPr>
        <w:t>N</w:t>
      </w:r>
      <w:r>
        <w:rPr>
          <w:rFonts w:hint="default" w:ascii="Times New Roman" w:hAnsi="Times New Roman" w:eastAsia="sans-serif" w:cs="Times New Roman"/>
          <w:sz w:val="24"/>
          <w:szCs w:val="24"/>
        </w:rPr>
        <w:t>o aplica dicho análisis</w:t>
      </w:r>
      <w:r>
        <w:rPr>
          <w:rFonts w:hint="default" w:ascii="Times New Roman" w:hAnsi="Times New Roman" w:cs="Times New Roman"/>
          <w:b/>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CALIDAD DEL AIRE.</w:t>
      </w:r>
      <w:r>
        <w:rPr>
          <w:rFonts w:hint="default" w:ascii="Times New Roman" w:hAnsi="Times New Roman" w:cs="Times New Roman"/>
          <w:b/>
          <w:sz w:val="24"/>
          <w:szCs w:val="24"/>
          <w:lang w:val="es-PA"/>
        </w:rPr>
        <w:t xml:space="preserve"> </w:t>
      </w:r>
      <w:r>
        <w:rPr>
          <w:rFonts w:hint="default" w:cs="Times New Roman"/>
          <w:b w:val="0"/>
          <w:bCs/>
          <w:sz w:val="24"/>
          <w:szCs w:val="24"/>
          <w:lang w:val="es-PA"/>
        </w:rPr>
        <w:t>En</w:t>
      </w:r>
      <w:r>
        <w:rPr>
          <w:rFonts w:hint="default" w:ascii="Times New Roman" w:hAnsi="Times New Roman" w:eastAsia="sans-serif" w:cs="Times New Roman"/>
          <w:sz w:val="24"/>
          <w:szCs w:val="24"/>
        </w:rPr>
        <w:t xml:space="preserve"> </w:t>
      </w:r>
      <w:r>
        <w:rPr>
          <w:rFonts w:hint="default" w:eastAsia="sans-serif" w:cs="Times New Roman"/>
          <w:sz w:val="24"/>
          <w:szCs w:val="24"/>
          <w:lang w:val="es-PA"/>
        </w:rPr>
        <w:t xml:space="preserve">la </w:t>
      </w:r>
      <w:r>
        <w:rPr>
          <w:rFonts w:hint="default" w:ascii="Times New Roman" w:hAnsi="Times New Roman" w:eastAsia="sans-serif" w:cs="Times New Roman"/>
          <w:sz w:val="24"/>
          <w:szCs w:val="24"/>
        </w:rPr>
        <w:t xml:space="preserve">calidad del aire </w:t>
      </w:r>
      <w:r>
        <w:rPr>
          <w:rFonts w:hint="default" w:eastAsia="sans-serif" w:cs="Times New Roman"/>
          <w:sz w:val="24"/>
          <w:szCs w:val="24"/>
          <w:lang w:val="es-PA"/>
        </w:rPr>
        <w:t>l</w:t>
      </w:r>
      <w:r>
        <w:rPr>
          <w:rFonts w:hint="default" w:ascii="Times New Roman" w:hAnsi="Times New Roman" w:eastAsia="sans-serif" w:cs="Times New Roman"/>
          <w:sz w:val="24"/>
          <w:szCs w:val="24"/>
        </w:rPr>
        <w:t>a mayor fuente de contaminación corresponde a fuentes móviles que transitan por La Avenida de Las Américas</w:t>
      </w:r>
      <w:r>
        <w:rPr>
          <w:rFonts w:hint="default" w:ascii="Times New Roman" w:hAnsi="Times New Roman" w:eastAsia="sans-serif" w:cs="Times New Roman"/>
          <w:sz w:val="24"/>
          <w:szCs w:val="24"/>
          <w:lang w:val="es-PA"/>
        </w:rPr>
        <w:t xml:space="preserve"> </w:t>
      </w:r>
      <w:r>
        <w:rPr>
          <w:rFonts w:hint="default" w:eastAsia="sans-serif" w:cs="Times New Roman"/>
          <w:sz w:val="24"/>
          <w:szCs w:val="24"/>
          <w:lang w:val="es-PA"/>
        </w:rPr>
        <w:t>de</w:t>
      </w:r>
      <w:r>
        <w:rPr>
          <w:rFonts w:hint="default" w:ascii="Times New Roman" w:hAnsi="Times New Roman" w:eastAsia="sans-serif" w:cs="Times New Roman"/>
          <w:sz w:val="24"/>
          <w:szCs w:val="24"/>
        </w:rPr>
        <w:t xml:space="preserve"> La Chorrera</w:t>
      </w:r>
      <w:r>
        <w:rPr>
          <w:rFonts w:hint="default" w:eastAsia="sans-serif" w:cs="Times New Roman"/>
          <w:sz w:val="24"/>
          <w:szCs w:val="24"/>
          <w:lang w:val="es-PA"/>
        </w:rPr>
        <w:t>.</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La caracterización que se presenta en este análisis del componente de vegetación fue orientada para facilitar la aplicación de la Resolución No AG-0235-2003 del 12 de junio de 2003, “Por la cual se establece la tarifa para el pago en concepto de la indemnización ecológica, para la expedición de los permisos de formaciones de gramíneas, que se requiera para la ejecución de obras de desarrollo, infraestructuras y edificaciones”En el área específica donde se prevé establecer el proyecto, la vegetación está compuesta de árbol de mango y matas de plátanos,con una edificación que será eliminada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sitio del proyecto.</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 xml:space="preserve">Percepción Local sobre el Proyecto, Obra o Actividad, </w:t>
      </w:r>
      <w:r>
        <w:rPr>
          <w:rFonts w:hint="default" w:ascii="Times New Roman" w:hAnsi="Times New Roman" w:eastAsia="sans-serif" w:cs="Times New Roman"/>
          <w:sz w:val="24"/>
          <w:szCs w:val="24"/>
        </w:rPr>
        <w:t>La encuesta y la visita de campo se realizó el domingo 28 de julio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2019, a horas de la mañana, en donde se procedió a realizar la consulta a la población de impacto directo del proyecto, este se obtuvo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 través de la encuesta, datos relacionados con la percepción de la comunidad sobre el proyecto y sus posibles impactos al medio social y ambiental en el área.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encuestaron un total de 10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de áreas aledañas al proyecto. </w:t>
      </w:r>
      <w:r>
        <w:rPr>
          <w:rFonts w:hint="default" w:ascii="Times New Roman" w:hAnsi="Times New Roman" w:eastAsia="sans-serif" w:cs="Times New Roman"/>
          <w:sz w:val="24"/>
          <w:szCs w:val="24"/>
          <w:lang w:val="es-PA"/>
        </w:rPr>
        <w:t xml:space="preserve"> El 100 % de los </w:t>
      </w:r>
      <w:r>
        <w:rPr>
          <w:rFonts w:hint="default" w:eastAsia="sans-serif" w:cs="Times New Roman"/>
          <w:sz w:val="24"/>
          <w:szCs w:val="24"/>
          <w:lang w:val="es-PA"/>
        </w:rPr>
        <w:t xml:space="preserve">encuestados están de acuerdo con el desarrollo del proyecto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eastAsia="sans-serif" w:cs="Times New Roman"/>
          <w:sz w:val="24"/>
          <w:szCs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w:t>
      </w:r>
      <w:r>
        <w:rPr>
          <w:rFonts w:hint="default"/>
          <w:lang w:val="es-PA"/>
        </w:rPr>
        <w:t xml:space="preserve"> </w:t>
      </w:r>
      <w:r>
        <w:t>-COPANIT 35-2000 Y DGNTI</w:t>
      </w:r>
      <w:r>
        <w:rPr>
          <w:rFonts w:hint="default"/>
          <w:lang w:val="es-PA"/>
        </w:rPr>
        <w:t xml:space="preserve"> </w:t>
      </w:r>
      <w:r>
        <w:t>-COPANIT 39-2000.</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ilvl w:val="0"/>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eastAsia="SimSun" w:cs="Times New Roman"/>
          <w:sz w:val="24"/>
          <w:szCs w:val="24"/>
        </w:rPr>
        <w:t>ZHIHUI WU</w:t>
      </w:r>
      <w:r>
        <w:rPr>
          <w:rFonts w:hint="default" w:ascii="Times New Roman" w:hAnsi="Times New Roman"/>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100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lang w:val="es-PA"/>
        </w:rPr>
        <w:t>CONSTRUCCIÓN DE LOCAL COMERCIAL Y OFICINAS,</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ascii="Times New Roman" w:hAnsi="Times New Roman" w:eastAsia="SimSun" w:cs="Times New Roman"/>
          <w:sz w:val="24"/>
          <w:szCs w:val="24"/>
        </w:rPr>
        <w:t>ZHIHUI WU</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21D65648">
      <w:pPr>
        <w:pStyle w:val="8"/>
      </w:pPr>
      <w:r>
        <w:t>Nombre de los consultores ambientales.</w:t>
      </w:r>
    </w:p>
  </w:comment>
  <w:comment w:id="1" w:author="Johana Valdes Rios" w:date="2018-06-21T15:22:00Z" w:initials="JVR">
    <w:p w14:paraId="086D3769">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D65648" w15:done="0"/>
  <w15:commentEx w15:paraId="086D37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184</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Style w:val="41"/>
        <w:rFonts w:hint="default"/>
        <w:b w:val="0"/>
        <w:bCs w:val="0"/>
        <w:sz w:val="16"/>
        <w:szCs w:val="16"/>
        <w:lang w:val="es-PA"/>
      </w:rPr>
      <w:t xml:space="preserve"> </w:t>
    </w:r>
    <w:r>
      <w:rPr>
        <w:rStyle w:val="41"/>
        <w:rFonts w:hint="default" w:ascii="Arial"/>
        <w:b w:val="0"/>
        <w:bCs w:val="0"/>
        <w:sz w:val="16"/>
        <w:szCs w:val="16"/>
        <w:lang w:val="es-PA"/>
      </w:rPr>
      <w:t>CONSTRUCCION DE LOCAL COMERCIAL Y OFICINAS</w:t>
    </w:r>
    <w:r>
      <w:rPr>
        <w:rStyle w:val="41"/>
        <w:b w:val="0"/>
        <w:bCs w:val="0"/>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Petrolera Nacional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C0520D"/>
    <w:rsid w:val="0BF1418E"/>
    <w:rsid w:val="0C7765D5"/>
    <w:rsid w:val="0C7949F9"/>
    <w:rsid w:val="0DCD5D4D"/>
    <w:rsid w:val="0E074F93"/>
    <w:rsid w:val="0E647430"/>
    <w:rsid w:val="0EA15DBF"/>
    <w:rsid w:val="0ED6225C"/>
    <w:rsid w:val="0F2463CE"/>
    <w:rsid w:val="104F2D7A"/>
    <w:rsid w:val="10BD32FE"/>
    <w:rsid w:val="10FD479A"/>
    <w:rsid w:val="116F6DD4"/>
    <w:rsid w:val="11C43712"/>
    <w:rsid w:val="12150454"/>
    <w:rsid w:val="121D7BFD"/>
    <w:rsid w:val="122468A1"/>
    <w:rsid w:val="13974E1B"/>
    <w:rsid w:val="13C800CD"/>
    <w:rsid w:val="1452033C"/>
    <w:rsid w:val="148D3D41"/>
    <w:rsid w:val="14E77A0A"/>
    <w:rsid w:val="14EC51DA"/>
    <w:rsid w:val="15285661"/>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0CA4DB7"/>
    <w:rsid w:val="22134DBB"/>
    <w:rsid w:val="2276514E"/>
    <w:rsid w:val="24607989"/>
    <w:rsid w:val="24BE4C16"/>
    <w:rsid w:val="256B24CF"/>
    <w:rsid w:val="25C97E3B"/>
    <w:rsid w:val="261D206D"/>
    <w:rsid w:val="26E04480"/>
    <w:rsid w:val="27042228"/>
    <w:rsid w:val="27D02F9E"/>
    <w:rsid w:val="280C7299"/>
    <w:rsid w:val="28CA1667"/>
    <w:rsid w:val="297C79F9"/>
    <w:rsid w:val="298C6BBC"/>
    <w:rsid w:val="2A7F60F6"/>
    <w:rsid w:val="2A8E7F0B"/>
    <w:rsid w:val="2B18594A"/>
    <w:rsid w:val="2B7070C3"/>
    <w:rsid w:val="2BF0468E"/>
    <w:rsid w:val="2C8B1521"/>
    <w:rsid w:val="2CC31249"/>
    <w:rsid w:val="2CCF5D5D"/>
    <w:rsid w:val="2D9515A6"/>
    <w:rsid w:val="2E124077"/>
    <w:rsid w:val="2EA061FA"/>
    <w:rsid w:val="2EAC48CA"/>
    <w:rsid w:val="2EF82C02"/>
    <w:rsid w:val="2F6C2FDB"/>
    <w:rsid w:val="301F758D"/>
    <w:rsid w:val="30AE6A7C"/>
    <w:rsid w:val="318664D2"/>
    <w:rsid w:val="327B357F"/>
    <w:rsid w:val="35192282"/>
    <w:rsid w:val="35250076"/>
    <w:rsid w:val="353874CF"/>
    <w:rsid w:val="35631C89"/>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E52420"/>
    <w:rsid w:val="4128380E"/>
    <w:rsid w:val="413D351D"/>
    <w:rsid w:val="417B4F02"/>
    <w:rsid w:val="42302E44"/>
    <w:rsid w:val="42670CEB"/>
    <w:rsid w:val="42887258"/>
    <w:rsid w:val="42A04E89"/>
    <w:rsid w:val="42C8050D"/>
    <w:rsid w:val="44002F4D"/>
    <w:rsid w:val="464A2378"/>
    <w:rsid w:val="46CE0237"/>
    <w:rsid w:val="46D46CB3"/>
    <w:rsid w:val="47A84D11"/>
    <w:rsid w:val="47B3214F"/>
    <w:rsid w:val="47BE4451"/>
    <w:rsid w:val="47F767B0"/>
    <w:rsid w:val="48F96BA9"/>
    <w:rsid w:val="48FC5F5C"/>
    <w:rsid w:val="491D7892"/>
    <w:rsid w:val="495C6911"/>
    <w:rsid w:val="499711FF"/>
    <w:rsid w:val="49F60A7D"/>
    <w:rsid w:val="4A2A2484"/>
    <w:rsid w:val="4A741BA1"/>
    <w:rsid w:val="4A7D314B"/>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42D07B7"/>
    <w:rsid w:val="55231822"/>
    <w:rsid w:val="554F1A18"/>
    <w:rsid w:val="56345CBD"/>
    <w:rsid w:val="57A12C01"/>
    <w:rsid w:val="57BF5FEC"/>
    <w:rsid w:val="57E53EC3"/>
    <w:rsid w:val="58F46581"/>
    <w:rsid w:val="5AF46B99"/>
    <w:rsid w:val="5BAD72BC"/>
    <w:rsid w:val="5BB271F5"/>
    <w:rsid w:val="5D8C27D7"/>
    <w:rsid w:val="5D8F11DA"/>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446E20"/>
    <w:rsid w:val="768801BE"/>
    <w:rsid w:val="77252F44"/>
    <w:rsid w:val="78133508"/>
    <w:rsid w:val="78B00646"/>
    <w:rsid w:val="79033F80"/>
    <w:rsid w:val="79981DCD"/>
    <w:rsid w:val="79F11BEE"/>
    <w:rsid w:val="7A2C01E3"/>
    <w:rsid w:val="7A3F5560"/>
    <w:rsid w:val="7A5C4DB1"/>
    <w:rsid w:val="7AA641CF"/>
    <w:rsid w:val="7AC2463C"/>
    <w:rsid w:val="7B2D0679"/>
    <w:rsid w:val="7B4011B3"/>
    <w:rsid w:val="7B4C7B67"/>
    <w:rsid w:val="7BBD5D38"/>
    <w:rsid w:val="7BF26B67"/>
    <w:rsid w:val="7C3820DB"/>
    <w:rsid w:val="7C41194F"/>
    <w:rsid w:val="7C7E38B7"/>
    <w:rsid w:val="7D524346"/>
    <w:rsid w:val="7D964182"/>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9</TotalTime>
  <ScaleCrop>false</ScaleCrop>
  <LinksUpToDate>false</LinksUpToDate>
  <CharactersWithSpaces>16211</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2019-11-15T13:53:16Z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