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  <w:rPr>
          <w:sz w:val="24"/>
          <w:szCs w:val="24"/>
        </w:rPr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DRPO - SEIA - PROV -130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 xml:space="preserve">E </w:t>
      </w:r>
      <w:r>
        <w:rPr>
          <w:sz w:val="24"/>
          <w:szCs w:val="24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spacing w:line="240" w:lineRule="auto"/>
        <w:jc w:val="both"/>
        <w:rPr>
          <w:b/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el promoto</w:t>
      </w:r>
      <w:r>
        <w:rPr>
          <w:rFonts w:hint="default"/>
          <w:sz w:val="24"/>
          <w:szCs w:val="24"/>
          <w:highlight w:val="none"/>
          <w:lang w:val="es-PA"/>
        </w:rPr>
        <w:t>r,</w:t>
      </w:r>
      <w:r>
        <w:rPr>
          <w:rFonts w:hint="default"/>
          <w:b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LONDON &amp; REGIONAL PANAMA, S.A.</w:t>
      </w:r>
      <w:r>
        <w:rPr>
          <w:lang w:val="es-PA" w:eastAsia="es-P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-939800</wp:posOffset>
            </wp:positionH>
            <wp:positionV relativeFrom="margin">
              <wp:posOffset>-749300</wp:posOffset>
            </wp:positionV>
            <wp:extent cx="2705735" cy="675005"/>
            <wp:effectExtent l="0" t="0" r="18415" b="1079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4983" r="63317" b="88743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sz w:val="24"/>
          <w:szCs w:val="24"/>
          <w:highlight w:val="none"/>
          <w:lang w:val="es-PA"/>
        </w:rPr>
        <w:t>,</w:t>
      </w:r>
      <w:r>
        <w:rPr>
          <w:sz w:val="24"/>
          <w:szCs w:val="24"/>
          <w:highlight w:val="none"/>
        </w:rPr>
        <w:t xml:space="preserve"> por medio de su representante lega</w:t>
      </w:r>
      <w:r>
        <w:rPr>
          <w:rFonts w:hint="default"/>
          <w:sz w:val="24"/>
          <w:szCs w:val="24"/>
          <w:highlight w:val="none"/>
          <w:lang w:val="es-PA"/>
        </w:rPr>
        <w:t xml:space="preserve">l el señor </w:t>
      </w:r>
      <w:r>
        <w:rPr>
          <w:rFonts w:hint="default" w:ascii="Times New Roman" w:hAnsi="Times New Roman" w:eastAsia="SimSun" w:cs="Times New Roman"/>
          <w:sz w:val="24"/>
          <w:szCs w:val="24"/>
        </w:rPr>
        <w:t>HENRY DAVID KARDONSKI</w:t>
      </w:r>
      <w:r>
        <w:rPr>
          <w:rFonts w:hint="default" w:eastAsia="SimSun" w:cs="Times New Roman"/>
          <w:sz w:val="24"/>
          <w:szCs w:val="24"/>
          <w:lang w:val="es-PA"/>
        </w:rPr>
        <w:t>,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  <w:lang w:val="es-MX" w:eastAsia="es-ES"/>
        </w:rPr>
        <w:t>portador de la 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>N°</w:t>
      </w:r>
      <w:r>
        <w:rPr>
          <w:rFonts w:hint="default"/>
          <w:b/>
          <w:sz w:val="24"/>
          <w:szCs w:val="24"/>
          <w:highlight w:val="none"/>
          <w:lang w:val="es-PA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8-229-2661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PA" w:eastAsia="es-ES"/>
        </w:rPr>
        <w:t>respectivamente</w:t>
      </w:r>
      <w:r>
        <w:rPr>
          <w:sz w:val="24"/>
          <w:szCs w:val="24"/>
          <w:highlight w:val="none"/>
          <w:lang w:val="es-ES" w:eastAsia="es-ES"/>
        </w:rPr>
        <w:t xml:space="preserve"> propone</w:t>
      </w:r>
      <w:r>
        <w:rPr>
          <w:rFonts w:hint="default"/>
          <w:sz w:val="24"/>
          <w:szCs w:val="24"/>
          <w:highlight w:val="none"/>
          <w:lang w:val="es-PA" w:eastAsia="es-ES"/>
        </w:rPr>
        <w:t>n</w:t>
      </w:r>
      <w:r>
        <w:rPr>
          <w:sz w:val="24"/>
          <w:szCs w:val="24"/>
          <w:highlight w:val="none"/>
          <w:lang w:val="es-ES" w:eastAsia="es-ES"/>
        </w:rPr>
        <w:t xml:space="preserve"> realizar el proyecto denominad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o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INFRAESTRUCTURAS DE KOBBE</w:t>
      </w:r>
      <w:r>
        <w:rPr>
          <w:b/>
          <w:sz w:val="24"/>
          <w:szCs w:val="24"/>
          <w:highlight w:val="none"/>
          <w:lang w:val="es-ES" w:eastAsia="es-ES"/>
        </w:rPr>
        <w:t>.</w:t>
      </w:r>
    </w:p>
    <w:p>
      <w:pPr>
        <w:spacing w:line="240" w:lineRule="auto"/>
        <w:jc w:val="left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30 de octubre  de 2019</w:t>
      </w:r>
      <w:r>
        <w:rPr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color w:val="0000FF"/>
          <w:sz w:val="24"/>
          <w:szCs w:val="24"/>
          <w:highlight w:val="none"/>
          <w:lang w:val="es-PA"/>
        </w:rPr>
        <w:t xml:space="preserve"> e</w:t>
      </w:r>
      <w:r>
        <w:rPr>
          <w:rFonts w:hint="default"/>
          <w:sz w:val="24"/>
          <w:szCs w:val="24"/>
          <w:highlight w:val="none"/>
          <w:lang w:val="es-PA"/>
        </w:rPr>
        <w:t>l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   </w:t>
      </w:r>
      <w:r>
        <w:rPr>
          <w:rFonts w:hint="default" w:ascii="Times New Roman" w:hAnsi="Times New Roman" w:eastAsia="SimSun" w:cs="Times New Roman"/>
          <w:sz w:val="24"/>
          <w:szCs w:val="24"/>
        </w:rPr>
        <w:t>HENRY DAVID KARDONSKI</w:t>
      </w:r>
      <w:r>
        <w:rPr>
          <w:rFonts w:hint="default"/>
          <w:sz w:val="24"/>
          <w:szCs w:val="24"/>
          <w:highlight w:val="none"/>
          <w:lang w:val="es-PA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present</w:t>
      </w:r>
      <w:r>
        <w:rPr>
          <w:rFonts w:hint="default"/>
          <w:sz w:val="24"/>
          <w:szCs w:val="24"/>
          <w:highlight w:val="none"/>
          <w:lang w:val="es-PA" w:eastAsia="es-ES"/>
        </w:rPr>
        <w:t>o</w:t>
      </w:r>
      <w:r>
        <w:rPr>
          <w:sz w:val="24"/>
          <w:szCs w:val="24"/>
          <w:highlight w:val="none"/>
          <w:lang w:val="es-ES" w:eastAsia="es-ES"/>
        </w:rPr>
        <w:t xml:space="preserve"> ante el Ministerio de Ambiente, el Estudio de Impacto Ambiental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>, denominado</w:t>
      </w:r>
      <w:r>
        <w:rPr>
          <w:b/>
          <w:bCs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INFRAESTRUCTURAS DE KOBBE,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Veracruz, </w:t>
      </w:r>
      <w:r>
        <w:rPr>
          <w:sz w:val="24"/>
          <w:szCs w:val="24"/>
          <w:highlight w:val="none"/>
        </w:rPr>
        <w:t>distrito de</w:t>
      </w:r>
      <w:r>
        <w:rPr>
          <w:rFonts w:hint="default"/>
          <w:sz w:val="24"/>
          <w:szCs w:val="24"/>
          <w:highlight w:val="none"/>
          <w:lang w:val="es-PA"/>
        </w:rPr>
        <w:t xml:space="preserve"> Arraiján,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PA"/>
        </w:rPr>
        <w:t>Panamá Oeste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 w:val="0"/>
          <w:bCs/>
          <w:sz w:val="24"/>
          <w:szCs w:val="24"/>
          <w:highlight w:val="none"/>
        </w:rPr>
        <w:t xml:space="preserve"> </w:t>
      </w:r>
      <w:r>
        <w:rPr>
          <w:rFonts w:hint="default"/>
          <w:b w:val="0"/>
          <w:bCs/>
          <w:sz w:val="24"/>
          <w:szCs w:val="24"/>
          <w:highlight w:val="none"/>
          <w:lang w:val="es-PA"/>
        </w:rPr>
        <w:t>la empresa consultora</w:t>
      </w:r>
      <w:r>
        <w:rPr>
          <w:rFonts w:hint="default"/>
          <w:b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PANAMA ENVIRONMENTAL SERVICES</w:t>
      </w:r>
      <w:r>
        <w:rPr>
          <w:rFonts w:hint="default" w:eastAsia="sans-serif" w:cs="Times New Roman"/>
          <w:sz w:val="24"/>
          <w:szCs w:val="24"/>
          <w:lang w:val="es-PA"/>
        </w:rPr>
        <w:t>, S.A</w:t>
      </w:r>
      <w:r>
        <w:rPr>
          <w:rFonts w:hint="default" w:ascii="Times New Roman" w:hAnsi="Times New Roman" w:eastAsia="sans-serif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b w:val="0"/>
          <w:bCs/>
          <w:sz w:val="24"/>
          <w:szCs w:val="24"/>
          <w:highlight w:val="none"/>
          <w:lang w:val="es-PA" w:eastAsia="es-ES"/>
        </w:rPr>
        <w:t>con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 xml:space="preserve"> </w:t>
      </w:r>
      <w:r>
        <w:rPr>
          <w:sz w:val="24"/>
          <w:szCs w:val="24"/>
          <w:highlight w:val="none"/>
          <w:lang w:val="es-MX" w:eastAsia="es-ES"/>
        </w:rPr>
        <w:t>person</w:t>
      </w:r>
      <w:r>
        <w:rPr>
          <w:rFonts w:hint="default"/>
          <w:sz w:val="24"/>
          <w:szCs w:val="24"/>
          <w:highlight w:val="none"/>
          <w:lang w:val="es-PA" w:eastAsia="es-ES"/>
        </w:rPr>
        <w:t>ería jurídica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/>
          <w:b/>
          <w:sz w:val="22"/>
          <w:lang w:val="es-PA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REG</w:t>
      </w:r>
      <w:r>
        <w:rPr>
          <w:rFonts w:hint="default" w:eastAsia="sans-serif" w:cs="Times New Roman"/>
          <w:sz w:val="24"/>
          <w:szCs w:val="24"/>
          <w:lang w:val="es-PA"/>
        </w:rPr>
        <w:t xml:space="preserve"> - </w:t>
      </w:r>
      <w:r>
        <w:rPr>
          <w:rFonts w:hint="default" w:ascii="Times New Roman" w:hAnsi="Times New Roman" w:eastAsia="sans-serif" w:cs="Times New Roman"/>
          <w:sz w:val="24"/>
          <w:szCs w:val="24"/>
        </w:rPr>
        <w:t>N</w:t>
      </w:r>
      <w:r>
        <w:rPr>
          <w:rFonts w:hint="default" w:eastAsia="sans-serif" w:cs="Times New Roman"/>
          <w:sz w:val="24"/>
          <w:szCs w:val="24"/>
          <w:lang w:val="es-PA"/>
        </w:rPr>
        <w:t xml:space="preserve">° 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089-99</w:t>
      </w:r>
      <w:r>
        <w:rPr>
          <w:rFonts w:hint="default" w:eastAsia="sans-serif" w:cs="Times New Roman"/>
          <w:sz w:val="24"/>
          <w:szCs w:val="24"/>
          <w:lang w:val="es-PA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t xml:space="preserve">con fecha del </w:t>
      </w:r>
      <w:r>
        <w:rPr>
          <w:rFonts w:hint="default"/>
          <w:sz w:val="24"/>
          <w:szCs w:val="24"/>
          <w:highlight w:val="none"/>
          <w:lang w:val="es-PA"/>
        </w:rPr>
        <w:t xml:space="preserve">15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octubre</w:t>
      </w:r>
      <w:bookmarkStart w:id="0" w:name="_GoBack"/>
      <w:bookmarkEnd w:id="0"/>
      <w:r>
        <w:rPr>
          <w:sz w:val="24"/>
          <w:szCs w:val="24"/>
          <w:highlight w:val="none"/>
          <w:lang w:val="es-MX" w:eastAsia="es-ES"/>
        </w:rPr>
        <w:t xml:space="preserve"> 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color w:val="000000"/>
          <w:sz w:val="24"/>
          <w:szCs w:val="24"/>
          <w:highlight w:val="none"/>
          <w:lang w:val="es-PA" w:eastAsia="es-ES"/>
        </w:rPr>
        <w:t>INFRAESTRUCTURAS DE KOBBE</w:t>
      </w:r>
      <w:r>
        <w:rPr>
          <w:b/>
          <w:color w:val="000000"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>, DEL MINISTERIO DE AMBIENTE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 del </w:t>
      </w:r>
      <w:r>
        <w:rPr>
          <w:sz w:val="24"/>
          <w:szCs w:val="24"/>
          <w:highlight w:val="none"/>
        </w:rPr>
        <w:t>proyecto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</w:rPr>
        <w:t xml:space="preserve">denominado </w:t>
      </w:r>
      <w:r>
        <w:rPr>
          <w:rFonts w:hint="default"/>
          <w:b/>
          <w:color w:val="000000"/>
          <w:sz w:val="24"/>
          <w:szCs w:val="24"/>
          <w:highlight w:val="none"/>
          <w:lang w:val="es-PA" w:eastAsia="es-ES"/>
        </w:rPr>
        <w:t>INFRAESTRUCTURAS DE KOBBE</w:t>
      </w:r>
      <w:r>
        <w:rPr>
          <w:sz w:val="24"/>
          <w:szCs w:val="24"/>
          <w:highlight w:val="none"/>
        </w:rPr>
        <w:t xml:space="preserve">, promovido por </w:t>
      </w:r>
      <w:r>
        <w:rPr>
          <w:rFonts w:hint="default" w:ascii="Times New Roman" w:hAnsi="Times New Roman" w:eastAsia="SimSun" w:cs="Times New Roman"/>
          <w:sz w:val="24"/>
          <w:szCs w:val="24"/>
        </w:rPr>
        <w:t>LONDON &amp; REGIONAL PANAMA, S.A.</w:t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los__________ (__) días, del mes de __________del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color w:val="000000"/>
          <w:sz w:val="24"/>
          <w:szCs w:val="24"/>
        </w:rPr>
        <w:t>CUMPLASE,</w:t>
      </w:r>
      <w:r>
        <w:rPr>
          <w:rFonts w:hint="default"/>
          <w:color w:val="000000"/>
          <w:sz w:val="24"/>
          <w:szCs w:val="24"/>
          <w:lang w:val="es-PA"/>
        </w:rPr>
        <w:t xml:space="preserve">             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ind w:firstLine="2880" w:firstLineChars="1200"/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</w:t>
      </w:r>
      <w:r>
        <w:rPr>
          <w:b/>
          <w:caps/>
          <w:color w:val="000000"/>
          <w:sz w:val="24"/>
          <w:szCs w:val="24"/>
          <w:u w:val="single"/>
        </w:rPr>
        <w:t>______     _</w:t>
      </w:r>
      <w:r>
        <w:rPr>
          <w:rFonts w:hint="default"/>
          <w:b/>
          <w:caps/>
          <w:color w:val="000000"/>
          <w:sz w:val="24"/>
          <w:szCs w:val="24"/>
          <w:u w:val="single"/>
          <w:lang w:val="es-PA"/>
        </w:rPr>
        <w:t xml:space="preserve">             </w:t>
      </w:r>
      <w:r>
        <w:rPr>
          <w:b/>
          <w:caps/>
          <w:color w:val="000000"/>
          <w:sz w:val="24"/>
          <w:szCs w:val="24"/>
          <w:u w:val="single"/>
        </w:rPr>
        <w:t>__________</w:t>
      </w:r>
    </w:p>
    <w:p>
      <w:pPr>
        <w:jc w:val="center"/>
        <w:rPr>
          <w:caps/>
          <w:color w:val="000000"/>
          <w:sz w:val="24"/>
          <w:szCs w:val="24"/>
        </w:rPr>
      </w:pPr>
      <w:r>
        <w:rPr>
          <w:rFonts w:hint="default"/>
          <w:caps/>
          <w:color w:val="000000"/>
          <w:sz w:val="24"/>
          <w:szCs w:val="24"/>
          <w:lang w:val="es-PA"/>
        </w:rPr>
        <w:t xml:space="preserve">lIcda. MARISOL AYOLA A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Director</w:t>
      </w:r>
      <w:r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  <w:t>a</w:t>
      </w:r>
      <w:r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 Regional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574" w:firstLineChars="1100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Ministerio de Ambiente – Panamá Oeste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hint="default" w:eastAsia="Calibri"/>
          <w:color w:val="000000"/>
          <w:spacing w:val="-3"/>
          <w:sz w:val="16"/>
          <w:szCs w:val="16"/>
          <w:lang w:val="es-PA" w:eastAsia="en-US"/>
        </w:rPr>
        <w:t>MA/rdr/ecs</w:t>
      </w:r>
    </w:p>
    <w:tbl>
      <w:tblPr>
        <w:tblStyle w:val="13"/>
        <w:tblpPr w:leftFromText="141" w:rightFromText="141" w:vertAnchor="page" w:horzAnchor="page" w:tblpX="2263" w:tblpY="19847"/>
        <w:tblW w:w="7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color w:val="000000"/>
          <w:sz w:val="24"/>
          <w:szCs w:val="24"/>
          <w:u w:val="single"/>
        </w:rPr>
      </w:pPr>
    </w:p>
    <w:sectPr>
      <w:footerReference r:id="rId3" w:type="default"/>
      <w:pgSz w:w="12242" w:h="20163"/>
      <w:pgMar w:top="1276" w:right="1531" w:bottom="539" w:left="1531" w:header="7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8A7"/>
    <w:rsid w:val="0CAA12BF"/>
    <w:rsid w:val="19044E96"/>
    <w:rsid w:val="1F4A214C"/>
    <w:rsid w:val="20872DB3"/>
    <w:rsid w:val="283C19FA"/>
    <w:rsid w:val="3983110C"/>
    <w:rsid w:val="39DB206A"/>
    <w:rsid w:val="3C0F15AB"/>
    <w:rsid w:val="3E726159"/>
    <w:rsid w:val="40E0299B"/>
    <w:rsid w:val="46E63B18"/>
    <w:rsid w:val="47974FE2"/>
    <w:rsid w:val="49B77197"/>
    <w:rsid w:val="4C454D1E"/>
    <w:rsid w:val="4E7B3D6C"/>
    <w:rsid w:val="55D56543"/>
    <w:rsid w:val="57D12DDF"/>
    <w:rsid w:val="592E17AA"/>
    <w:rsid w:val="5CDF7592"/>
    <w:rsid w:val="66A34A65"/>
    <w:rsid w:val="69915BCE"/>
    <w:rsid w:val="69B20EFA"/>
    <w:rsid w:val="6EEA6CC6"/>
    <w:rsid w:val="75A46CA3"/>
    <w:rsid w:val="786C2C8C"/>
    <w:rsid w:val="7AD12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Office_11.2.0.9031_F1E327BC-269C-435d-A152-05C5408002CA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2019-11-15T20:31:22Z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3082-11.2.0.9031</vt:lpwstr>
  </property>
</Properties>
</file>