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BD2C5B">
        <w:rPr>
          <w:rFonts w:ascii="Times New Roman" w:hAnsi="Times New Roman" w:cs="Times New Roman"/>
          <w:sz w:val="24"/>
          <w:u w:val="single"/>
        </w:rPr>
        <w:t>RESIDENCIAL NOVA SUR</w:t>
      </w:r>
      <w:r w:rsidR="0095440E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BD2C5B">
        <w:rPr>
          <w:rFonts w:ascii="Times New Roman" w:hAnsi="Times New Roman" w:cs="Times New Roman"/>
          <w:sz w:val="24"/>
          <w:u w:val="single"/>
        </w:rPr>
        <w:t xml:space="preserve">AVENON INVESTMENT INC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BD2C5B">
        <w:rPr>
          <w:rFonts w:ascii="Times New Roman" w:hAnsi="Times New Roman" w:cs="Times New Roman"/>
          <w:sz w:val="24"/>
          <w:u w:val="single"/>
        </w:rPr>
        <w:t>DRCH-I-F-19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BD2C5B">
        <w:rPr>
          <w:rFonts w:ascii="Times New Roman" w:hAnsi="Times New Roman" w:cs="Times New Roman"/>
          <w:sz w:val="24"/>
          <w:u w:val="single"/>
        </w:rPr>
        <w:t>25</w:t>
      </w:r>
      <w:r w:rsidR="0095440E">
        <w:rPr>
          <w:rFonts w:ascii="Times New Roman" w:hAnsi="Times New Roman" w:cs="Times New Roman"/>
          <w:sz w:val="24"/>
          <w:u w:val="single"/>
        </w:rPr>
        <w:t xml:space="preserve"> </w:t>
      </w:r>
      <w:r w:rsidR="001F3BB0" w:rsidRPr="00A649E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>DE JUNIO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BD2C5B">
        <w:rPr>
          <w:rFonts w:ascii="Times New Roman" w:hAnsi="Times New Roman" w:cs="Times New Roman"/>
          <w:sz w:val="24"/>
          <w:u w:val="single"/>
        </w:rPr>
        <w:t xml:space="preserve">VIVIANA  BEITIA SAMUDIO / MAGDALENO ESCUDERO </w:t>
      </w:r>
      <w:r w:rsidR="00A649E2" w:rsidRPr="00A649E2">
        <w:rPr>
          <w:rFonts w:ascii="Times New Roman" w:hAnsi="Times New Roman" w:cs="Times New Roman"/>
          <w:sz w:val="24"/>
        </w:rPr>
        <w:t xml:space="preserve">            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DD" w:rsidRDefault="00D019DD">
      <w:pPr>
        <w:spacing w:after="0" w:line="240" w:lineRule="auto"/>
      </w:pPr>
      <w:r>
        <w:separator/>
      </w:r>
    </w:p>
  </w:endnote>
  <w:endnote w:type="continuationSeparator" w:id="0">
    <w:p w:rsidR="00D019DD" w:rsidRDefault="00D0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DD" w:rsidRDefault="00D019DD">
      <w:pPr>
        <w:spacing w:after="0" w:line="240" w:lineRule="auto"/>
      </w:pPr>
      <w:r>
        <w:separator/>
      </w:r>
    </w:p>
  </w:footnote>
  <w:footnote w:type="continuationSeparator" w:id="0">
    <w:p w:rsidR="00D019DD" w:rsidRDefault="00D0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D019DD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D019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5775F"/>
    <w:rsid w:val="008F5E90"/>
    <w:rsid w:val="008F6631"/>
    <w:rsid w:val="0095440E"/>
    <w:rsid w:val="00990777"/>
    <w:rsid w:val="00A27F51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E8060C"/>
    <w:rsid w:val="00F60B1E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14</cp:revision>
  <dcterms:created xsi:type="dcterms:W3CDTF">2019-02-11T15:53:00Z</dcterms:created>
  <dcterms:modified xsi:type="dcterms:W3CDTF">2019-07-02T18:52:00Z</dcterms:modified>
</cp:coreProperties>
</file>